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C7E40">
      <w:pPr>
        <w:rPr>
          <w:rFonts w:hint="eastAsia" w:ascii="黑体"/>
          <w:szCs w:val="21"/>
        </w:rPr>
      </w:pPr>
    </w:p>
    <w:p w14:paraId="1B48B862">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bookmarkStart w:id="0" w:name="_Toc942016"/>
      <w:bookmarkStart w:id="1" w:name="_Toc14794"/>
      <w:bookmarkStart w:id="2" w:name="_Toc1651879"/>
      <w:bookmarkStart w:id="3" w:name="_Toc15743"/>
      <w:bookmarkStart w:id="4" w:name="_Toc24964"/>
      <w:bookmarkStart w:id="5" w:name="_Toc31202"/>
      <w:bookmarkStart w:id="6" w:name="_Toc942345"/>
      <w:r>
        <w:rPr>
          <w:rFonts w:hint="eastAsia" w:ascii="黑体" w:hAnsi="黑体" w:eastAsia="黑体" w:cs="黑体"/>
          <w:bCs/>
          <w:smallCaps w:val="0"/>
          <w:kern w:val="0"/>
          <w:sz w:val="21"/>
          <w:szCs w:val="21"/>
        </w:rPr>
        <w:t>ICS XX.XXX.XX</w:t>
      </w:r>
    </w:p>
    <w:p w14:paraId="4FD64651">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r>
        <w:rPr>
          <w:rFonts w:hint="eastAsia" w:ascii="黑体" w:hAnsi="黑体" w:eastAsia="黑体" w:cs="黑体"/>
          <w:bCs/>
          <w:smallCaps w:val="0"/>
          <w:kern w:val="0"/>
          <w:sz w:val="21"/>
          <w:szCs w:val="21"/>
        </w:rPr>
        <w:t>CCS</w:t>
      </w:r>
      <w:r>
        <w:rPr>
          <w:rFonts w:hint="eastAsia" w:ascii="黑体" w:hAnsi="黑体" w:eastAsia="黑体" w:cs="黑体"/>
          <w:bCs/>
          <w:smallCaps w:val="0"/>
          <w:color w:val="000000"/>
          <w:kern w:val="0"/>
          <w:sz w:val="21"/>
          <w:szCs w:val="21"/>
          <w:lang w:bidi="ar"/>
        </w:rPr>
        <w:t xml:space="preserve"> X XX</w:t>
      </w:r>
    </w:p>
    <w:p w14:paraId="6A546C89">
      <w:pPr>
        <w:framePr w:w="2546" w:h="1389" w:hRule="exact" w:hSpace="181" w:vSpace="181" w:wrap="around" w:vAnchor="margin"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14:paraId="43D4BF2D">
      <w:pPr>
        <w:framePr w:w="9639" w:h="813" w:hRule="exact" w:hSpace="181" w:vSpace="181" w:wrap="around" w:vAnchor="page" w:hAnchor="page" w:x="1330" w:y="2268" w:anchorLock="1"/>
        <w:kinsoku w:val="0"/>
        <w:overflowPunct w:val="0"/>
        <w:autoSpaceDE w:val="0"/>
        <w:autoSpaceDN w:val="0"/>
        <w:spacing w:line="0" w:lineRule="atLeast"/>
        <w:jc w:val="distribute"/>
        <w:rPr>
          <w:rFonts w:hint="eastAsia" w:ascii="黑体" w:hAnsi="黑体" w:eastAsia="黑体" w:cs="黑体"/>
          <w:b/>
          <w:bCs/>
          <w:smallCaps w:val="0"/>
          <w:spacing w:val="20"/>
          <w:w w:val="148"/>
          <w:kern w:val="0"/>
          <w:sz w:val="48"/>
          <w:szCs w:val="20"/>
        </w:rPr>
      </w:pPr>
      <w:r>
        <w:rPr>
          <w:rFonts w:hint="eastAsia" w:ascii="黑体" w:hAnsi="黑体" w:eastAsia="黑体" w:cs="黑体"/>
          <w:b/>
          <w:bCs/>
          <w:smallCaps w:val="0"/>
          <w:spacing w:val="20"/>
          <w:w w:val="148"/>
          <w:kern w:val="0"/>
          <w:sz w:val="48"/>
          <w:szCs w:val="20"/>
        </w:rPr>
        <w:t>团体标准</w:t>
      </w:r>
    </w:p>
    <w:p w14:paraId="53B70168">
      <w:pPr>
        <w:framePr w:w="9140" w:h="792" w:hRule="exact" w:hSpace="284" w:wrap="around" w:vAnchor="page" w:hAnchor="page" w:x="1645" w:y="3360" w:anchorLock="1"/>
        <w:widowControl/>
        <w:wordWrap w:val="0"/>
        <w:jc w:val="right"/>
        <w:rPr>
          <w:rFonts w:ascii="黑体" w:hAnsi="Times New Roman" w:eastAsia="黑体"/>
          <w:smallCaps w:val="0"/>
          <w:kern w:val="0"/>
          <w:sz w:val="28"/>
          <w:szCs w:val="28"/>
        </w:rPr>
      </w:pPr>
      <w:r>
        <w:rPr>
          <w:rFonts w:hint="eastAsia" w:ascii="黑体" w:hAnsi="黑体" w:eastAsia="黑体" w:cs="黑体"/>
          <w:smallCaps w:val="0"/>
          <w:kern w:val="0"/>
          <w:sz w:val="28"/>
          <w:szCs w:val="28"/>
        </w:rPr>
        <w:t>T/FDSA 0XXX—2025</w:t>
      </w:r>
    </w:p>
    <w:p w14:paraId="2EBDC760">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1968A7D">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0CAA333F">
      <w:pPr>
        <w:pStyle w:val="42"/>
        <w:framePr w:h="6917" w:hRule="exact" w:wrap="around" w:xAlign="center" w:anchorLock="1"/>
        <w:pBdr>
          <w:top w:val="none" w:color="auto" w:sz="0" w:space="0"/>
          <w:left w:val="none" w:color="auto" w:sz="0" w:space="0"/>
          <w:bottom w:val="none" w:color="auto" w:sz="0" w:space="0"/>
          <w:right w:val="none" w:color="auto" w:sz="0" w:space="0"/>
        </w:pBdr>
        <w:rPr>
          <w:rFonts w:hint="eastAsia" w:ascii="宋体" w:hAnsi="宋体"/>
          <w:szCs w:val="21"/>
        </w:rPr>
      </w:pPr>
      <w:r>
        <w:rPr>
          <w:rFonts w:hint="eastAsia" w:ascii="宋体" w:hAnsi="宋体"/>
          <w:szCs w:val="21"/>
        </w:rPr>
        <w:t>果蔬中农药残留快速定量检测荧光定量</w:t>
      </w:r>
    </w:p>
    <w:p w14:paraId="126621CC">
      <w:pPr>
        <w:pStyle w:val="42"/>
        <w:framePr w:h="6917" w:hRule="exact" w:wrap="around" w:xAlign="center" w:anchorLock="1"/>
        <w:pBdr>
          <w:top w:val="none" w:color="auto" w:sz="0" w:space="0"/>
          <w:left w:val="none" w:color="auto" w:sz="0" w:space="0"/>
          <w:bottom w:val="none" w:color="auto" w:sz="0" w:space="0"/>
          <w:right w:val="none" w:color="auto" w:sz="0" w:space="0"/>
        </w:pBdr>
        <w:rPr>
          <w:rFonts w:hint="eastAsia" w:ascii="宋体" w:hAnsi="宋体"/>
          <w:szCs w:val="21"/>
        </w:rPr>
      </w:pPr>
      <w:r>
        <w:rPr>
          <w:rFonts w:hint="eastAsia" w:ascii="宋体" w:hAnsi="宋体"/>
          <w:szCs w:val="21"/>
        </w:rPr>
        <w:t>免疫层析试纸条法技术规范</w:t>
      </w:r>
    </w:p>
    <w:p w14:paraId="483CBBAD">
      <w:pPr>
        <w:framePr w:w="9639" w:h="6917" w:hRule="exact" w:wrap="around" w:vAnchor="page" w:hAnchor="page" w:xAlign="center" w:y="6408" w:anchorLock="1"/>
        <w:rPr>
          <w:rFonts w:hint="eastAsia"/>
        </w:rPr>
      </w:pPr>
    </w:p>
    <w:p w14:paraId="05B9AE27">
      <w:pPr>
        <w:framePr w:w="9639" w:h="6917" w:hRule="exact" w:wrap="around" w:vAnchor="page" w:hAnchor="page" w:xAlign="center" w:y="6408" w:anchorLock="1"/>
        <w:widowControl/>
        <w:pBdr>
          <w:top w:val="none" w:color="auto" w:sz="0" w:space="0"/>
          <w:left w:val="none" w:color="auto" w:sz="0" w:space="0"/>
          <w:bottom w:val="none" w:color="auto" w:sz="0" w:space="0"/>
          <w:right w:val="none" w:color="auto" w:sz="0" w:space="0"/>
        </w:pBdr>
        <w:kinsoku w:val="0"/>
        <w:autoSpaceDE w:val="0"/>
        <w:autoSpaceDN w:val="0"/>
        <w:adjustRightInd w:val="0"/>
        <w:snapToGrid w:val="0"/>
        <w:spacing w:line="249" w:lineRule="auto"/>
        <w:jc w:val="center"/>
        <w:textAlignment w:val="baseline"/>
        <w:rPr>
          <w:rFonts w:eastAsia="Times New Roman"/>
          <w:snapToGrid w:val="0"/>
          <w:color w:val="000000"/>
          <w:szCs w:val="28"/>
          <w:lang w:eastAsia="en-US"/>
        </w:rPr>
      </w:pPr>
      <w:r>
        <w:rPr>
          <w:rFonts w:hint="eastAsia" w:ascii="Times New Roman" w:hAnsi="Times New Roman" w:eastAsia="Times New Roman" w:cs="Times New Roman"/>
          <w:snapToGrid w:val="0"/>
          <w:color w:val="000000"/>
          <w:kern w:val="0"/>
          <w:sz w:val="28"/>
          <w:szCs w:val="28"/>
          <w:lang w:eastAsia="en-US"/>
        </w:rPr>
        <w:t>Technical Specification for Rapid Quantitative Detection of Pesticide Residues in Fruits and Vegetables by Fluorescence Quantitative Immunochromatographic Strip Method</w:t>
      </w:r>
    </w:p>
    <w:p w14:paraId="220171AE">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hint="eastAsia" w:ascii="宋体" w:hAnsi="Times New Roman"/>
          <w:smallCaps w:val="0"/>
          <w:kern w:val="0"/>
          <w:sz w:val="28"/>
          <w:szCs w:val="28"/>
        </w:rPr>
        <w:t>（</w:t>
      </w:r>
      <w:r>
        <w:rPr>
          <w:rFonts w:hint="eastAsia" w:ascii="宋体" w:hAnsi="Times New Roman"/>
          <w:smallCaps w:val="0"/>
          <w:kern w:val="0"/>
          <w:sz w:val="28"/>
          <w:szCs w:val="28"/>
          <w:lang w:val="en-US" w:eastAsia="zh-CN"/>
        </w:rPr>
        <w:t>征求意见稿</w:t>
      </w:r>
      <w:r>
        <w:rPr>
          <w:rFonts w:hint="eastAsia" w:ascii="宋体" w:hAnsi="Times New Roman"/>
          <w:smallCaps w:val="0"/>
          <w:kern w:val="0"/>
          <w:sz w:val="28"/>
          <w:szCs w:val="28"/>
        </w:rPr>
        <w:t>）</w:t>
      </w:r>
    </w:p>
    <w:p w14:paraId="2C72DCC1">
      <w:pPr>
        <w:framePr w:w="3997" w:h="471" w:hRule="exact" w:vSpace="181" w:wrap="around" w:vAnchor="page" w:hAnchor="page" w:x="1419" w:y="14097" w:anchorLock="1"/>
        <w:widowControl/>
        <w:jc w:val="lef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Times New Roman"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发布</w:t>
      </w:r>
      <w:r>
        <w:rPr>
          <w:rFonts w:ascii="Times New Roman" w:hAnsi="Times New Roman" w:eastAsia="黑体"/>
          <w:smallCaps w:val="0"/>
          <w:kern w:val="0"/>
          <w:sz w:val="28"/>
          <w:szCs w:val="2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vlVf3wAQAAxQ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l/JU3sBDE0cBBinXUO9X4agSTTe3edjEtD737azlv79v/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h2s81gAAAAsBAAAPAAAAAAAAAAEAIAAAACIAAABkcnMvZG93bnJldi54bWxQSwECFAAUAAAA&#10;CACHTuJAK+VV/fABAADFAwAADgAAAAAAAAABACAAAAAlAQAAZHJzL2Uyb0RvYy54bWxQSwUGAAAA&#10;AAYABgBZAQAAhwUAAAAA&#10;">
                <v:fill on="f" focussize="0,0"/>
                <v:stroke color="#000000" joinstyle="round"/>
                <v:imagedata o:title=""/>
                <o:lock v:ext="edit" aspectratio="f"/>
                <w10:anchorlock/>
              </v:line>
            </w:pict>
          </mc:Fallback>
        </mc:AlternateContent>
      </w:r>
    </w:p>
    <w:p w14:paraId="4D8BA8F6">
      <w:pPr>
        <w:framePr w:w="3997" w:h="471" w:hRule="exact" w:vSpace="181" w:wrap="around" w:vAnchor="page" w:hAnchor="page" w:x="7089" w:y="14097" w:anchorLock="1"/>
        <w:widowControl/>
        <w:jc w:val="righ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Times New Roman" w:hAnsi="Times New Roman" w:eastAsia="黑体"/>
          <w:smallCaps w:val="0"/>
          <w:kern w:val="0"/>
          <w:sz w:val="28"/>
          <w:szCs w:val="20"/>
        </w:rPr>
        <w:t xml:space="preserve"> </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实施</w:t>
      </w:r>
    </w:p>
    <w:p w14:paraId="4FBB1882">
      <w:pPr>
        <w:framePr w:w="7937" w:h="1134" w:hRule="exact" w:hSpace="125" w:vSpace="1134" w:wrap="around" w:vAnchor="margin" w:hAnchor="page" w:x="2359" w:y="14809" w:anchorLock="1"/>
        <w:widowControl/>
        <w:jc w:val="center"/>
        <w:rPr>
          <w:color w:val="auto"/>
          <w:sz w:val="28"/>
          <w:szCs w:val="28"/>
          <w:lang w:eastAsia="zh-CN"/>
        </w:rPr>
        <w:sectPr>
          <w:headerReference r:id="rId4" w:type="first"/>
          <w:footerReference r:id="rId5" w:type="first"/>
          <w:headerReference r:id="rId3" w:type="default"/>
          <w:pgSz w:w="11906" w:h="16839"/>
          <w:pgMar w:top="588" w:right="820" w:bottom="0" w:left="1359" w:header="0" w:footer="0" w:gutter="0"/>
          <w:cols w:space="720" w:num="1"/>
          <w:titlePg/>
          <w:docGrid w:linePitch="286" w:charSpace="0"/>
        </w:sectPr>
      </w:pPr>
      <w:r>
        <w:rPr>
          <w:rFonts w:hint="eastAsia" w:ascii="宋体" w:hAnsi="Times New Roman"/>
          <w:b/>
          <w:smallCaps w:val="0"/>
          <w:spacing w:val="20"/>
          <w:w w:val="135"/>
          <w:kern w:val="0"/>
          <w:sz w:val="28"/>
          <w:szCs w:val="20"/>
        </w:rPr>
        <w:t xml:space="preserve">中国食品药品企业质量安全促进会   </w:t>
      </w:r>
      <w:r>
        <w:rPr>
          <w:rFonts w:hint="eastAsia" w:ascii="黑体" w:hAnsi="黑体" w:eastAsia="黑体" w:cs="黑体"/>
          <w:bCs/>
          <w:smallCaps w:val="0"/>
          <w:spacing w:val="20"/>
          <w:w w:val="135"/>
          <w:kern w:val="0"/>
          <w:sz w:val="28"/>
          <w:szCs w:val="28"/>
        </w:rPr>
        <w:t>发布</w:t>
      </w:r>
      <w:r>
        <w:rPr>
          <w:rFonts w:ascii="宋体" w:hAnsi="Times New Roman"/>
          <w:smallCaps w:val="0"/>
          <w:kern w:val="0"/>
          <w:sz w:val="21"/>
          <w:szCs w:val="20"/>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2312670</wp:posOffset>
                </wp:positionV>
                <wp:extent cx="6120130" cy="0"/>
                <wp:effectExtent l="0" t="4445" r="0" b="508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top:182.1pt;height:0pt;width:481.9pt;mso-position-horizontal:left;mso-position-horizontal-relative:margin;z-index:251660288;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iQ0KXVAAAACAEAAA8AAAAAAAAAAQAgAAAAIgAAAGRycy9kb3ducmV2LnhtbFBLAQIUABQAAAAI&#10;AIdO4kA/0TpF8AEAAMUDAAAOAAAAAAAAAAEAIAAAACQBAABkcnMvZTJvRG9jLnhtbFBLBQYAAAAA&#10;BgAGAFkBAACGBQAAAAA=&#10;">
                <v:fill on="f" focussize="0,0"/>
                <v:stroke color="#000000" joinstyle="round"/>
                <v:imagedata o:title=""/>
                <o:lock v:ext="edit" aspectratio="f"/>
              </v:line>
            </w:pict>
          </mc:Fallback>
        </mc:AlternateContent>
      </w:r>
      <w:bookmarkEnd w:id="0"/>
      <w:bookmarkEnd w:id="1"/>
      <w:bookmarkEnd w:id="2"/>
      <w:bookmarkEnd w:id="3"/>
      <w:bookmarkEnd w:id="4"/>
      <w:bookmarkEnd w:id="5"/>
      <w:bookmarkEnd w:id="6"/>
    </w:p>
    <w:p w14:paraId="57A821BF">
      <w:pPr>
        <w:spacing w:line="346" w:lineRule="auto"/>
        <w:rPr>
          <w:color w:val="auto"/>
          <w:lang w:eastAsia="zh-CN"/>
        </w:rPr>
      </w:pPr>
    </w:p>
    <w:p w14:paraId="68237327">
      <w:pPr>
        <w:spacing w:line="347" w:lineRule="auto"/>
        <w:rPr>
          <w:color w:val="auto"/>
          <w:lang w:eastAsia="zh-CN"/>
        </w:rPr>
      </w:pPr>
    </w:p>
    <w:p w14:paraId="3305860C">
      <w:pPr>
        <w:widowControl w:val="0"/>
        <w:kinsoku/>
        <w:autoSpaceDE/>
        <w:autoSpaceDN/>
        <w:adjustRightInd/>
        <w:snapToGrid/>
        <w:spacing w:before="312" w:beforeLines="100" w:after="312" w:afterLines="100" w:line="400" w:lineRule="exact"/>
        <w:jc w:val="center"/>
        <w:textAlignment w:val="auto"/>
        <w:rPr>
          <w:rFonts w:hint="eastAsia" w:ascii="黑体" w:eastAsia="黑体" w:hAnsiTheme="minorHAnsi" w:cstheme="minorBidi"/>
          <w:bCs/>
          <w:snapToGrid/>
          <w:kern w:val="2"/>
          <w:sz w:val="32"/>
          <w:szCs w:val="32"/>
          <w:lang w:eastAsia="zh-CN"/>
        </w:rPr>
      </w:pPr>
      <w:r>
        <w:rPr>
          <w:rFonts w:hint="eastAsia" w:ascii="黑体" w:eastAsia="黑体" w:hAnsiTheme="minorHAnsi" w:cstheme="minorBidi"/>
          <w:bCs/>
          <w:snapToGrid/>
          <w:kern w:val="2"/>
          <w:sz w:val="32"/>
          <w:szCs w:val="32"/>
          <w:lang w:eastAsia="zh-CN"/>
        </w:rPr>
        <w:t>目    次</w:t>
      </w:r>
    </w:p>
    <w:p w14:paraId="75F43CE5">
      <w:pPr>
        <w:spacing w:line="417" w:lineRule="auto"/>
        <w:rPr>
          <w:color w:val="auto"/>
          <w:lang w:eastAsia="zh-CN"/>
        </w:rPr>
      </w:pPr>
    </w:p>
    <w:sdt>
      <w:sdtPr>
        <w:rPr>
          <w:rFonts w:ascii="宋体" w:hAnsi="宋体" w:eastAsia="宋体" w:cs="宋体"/>
          <w:color w:val="auto"/>
          <w:sz w:val="21"/>
          <w:szCs w:val="20"/>
        </w:rPr>
        <w:id w:val="147461084"/>
        <w:docPartObj>
          <w:docPartGallery w:val="Table of Contents"/>
          <w:docPartUnique/>
        </w:docPartObj>
      </w:sdtPr>
      <w:sdtEndPr>
        <w:rPr>
          <w:rFonts w:ascii="宋体" w:hAnsi="宋体" w:eastAsia="宋体" w:cs="宋体"/>
          <w:color w:val="auto"/>
          <w:sz w:val="21"/>
          <w:szCs w:val="20"/>
        </w:rPr>
      </w:sdtEndPr>
      <w:sdtContent>
        <w:p w14:paraId="2E00B5EE">
          <w:pPr>
            <w:pStyle w:val="9"/>
            <w:keepNext w:val="0"/>
            <w:keepLines w:val="0"/>
            <w:pageBreakBefore w:val="0"/>
            <w:widowControl/>
            <w:tabs>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lang w:eastAsia="zh-CN"/>
            </w:rPr>
            <w:instrText xml:space="preserve"> TOC \o "1-2" \u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spacing w:val="-2"/>
              <w:sz w:val="21"/>
              <w:szCs w:val="21"/>
              <w:highlight w:val="none"/>
              <w:lang w:eastAsia="zh-CN"/>
            </w:rPr>
            <w:t>前</w:t>
          </w:r>
          <w:r>
            <w:rPr>
              <w:rFonts w:hint="eastAsia" w:asciiTheme="minorEastAsia" w:hAnsiTheme="minorEastAsia" w:eastAsiaTheme="minorEastAsia" w:cstheme="minorEastAsia"/>
              <w:color w:val="auto"/>
              <w:spacing w:val="11"/>
              <w:sz w:val="21"/>
              <w:szCs w:val="21"/>
              <w:highlight w:val="none"/>
              <w:lang w:eastAsia="zh-CN"/>
            </w:rPr>
            <w:t xml:space="preserve">    </w:t>
          </w:r>
          <w:r>
            <w:rPr>
              <w:rFonts w:hint="eastAsia" w:asciiTheme="minorEastAsia" w:hAnsiTheme="minorEastAsia" w:eastAsiaTheme="minorEastAsia" w:cstheme="minorEastAsia"/>
              <w:color w:val="auto"/>
              <w:spacing w:val="-2"/>
              <w:sz w:val="21"/>
              <w:szCs w:val="21"/>
              <w:highlight w:val="none"/>
              <w:lang w:eastAsia="zh-CN"/>
            </w:rPr>
            <w:t>言</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_Toc208994360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3</w:t>
          </w:r>
          <w:r>
            <w:rPr>
              <w:rFonts w:hint="eastAsia" w:asciiTheme="minorEastAsia" w:hAnsiTheme="minorEastAsia" w:eastAsiaTheme="minorEastAsia" w:cstheme="minorEastAsia"/>
              <w:sz w:val="21"/>
              <w:szCs w:val="21"/>
              <w:highlight w:val="none"/>
            </w:rPr>
            <w:fldChar w:fldCharType="end"/>
          </w:r>
        </w:p>
        <w:p w14:paraId="6C5038B6">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范围</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_Toc208994361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4</w:t>
          </w:r>
          <w:r>
            <w:rPr>
              <w:rFonts w:hint="eastAsia" w:asciiTheme="minorEastAsia" w:hAnsiTheme="minorEastAsia" w:eastAsiaTheme="minorEastAsia" w:cstheme="minorEastAsia"/>
              <w:sz w:val="21"/>
              <w:szCs w:val="21"/>
              <w:highlight w:val="none"/>
            </w:rPr>
            <w:fldChar w:fldCharType="end"/>
          </w:r>
        </w:p>
        <w:p w14:paraId="5C9C825F">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2.</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规范性引用文件</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_Toc208994362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4</w:t>
          </w:r>
          <w:r>
            <w:rPr>
              <w:rFonts w:hint="eastAsia" w:asciiTheme="minorEastAsia" w:hAnsiTheme="minorEastAsia" w:eastAsiaTheme="minorEastAsia" w:cstheme="minorEastAsia"/>
              <w:sz w:val="21"/>
              <w:szCs w:val="21"/>
              <w:highlight w:val="none"/>
            </w:rPr>
            <w:fldChar w:fldCharType="end"/>
          </w:r>
        </w:p>
        <w:p w14:paraId="7B4251D9">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3.</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术语和定义</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_Toc208994363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4</w:t>
          </w:r>
          <w:r>
            <w:rPr>
              <w:rFonts w:hint="eastAsia" w:asciiTheme="minorEastAsia" w:hAnsiTheme="minorEastAsia" w:eastAsiaTheme="minorEastAsia" w:cstheme="minorEastAsia"/>
              <w:sz w:val="21"/>
              <w:szCs w:val="21"/>
              <w:highlight w:val="none"/>
            </w:rPr>
            <w:fldChar w:fldCharType="end"/>
          </w:r>
        </w:p>
        <w:p w14:paraId="3A4ADBC8">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4.</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基本原则</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_Toc208994364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5</w:t>
          </w:r>
          <w:r>
            <w:rPr>
              <w:rFonts w:hint="eastAsia" w:asciiTheme="minorEastAsia" w:hAnsiTheme="minorEastAsia" w:eastAsiaTheme="minorEastAsia" w:cstheme="minorEastAsia"/>
              <w:sz w:val="21"/>
              <w:szCs w:val="21"/>
              <w:highlight w:val="none"/>
            </w:rPr>
            <w:fldChar w:fldCharType="end"/>
          </w:r>
        </w:p>
        <w:p w14:paraId="64DE5B80">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5.</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设备与耗材</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_Toc208994365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5</w:t>
          </w:r>
          <w:r>
            <w:rPr>
              <w:rFonts w:hint="eastAsia" w:asciiTheme="minorEastAsia" w:hAnsiTheme="minorEastAsia" w:eastAsiaTheme="minorEastAsia" w:cstheme="minorEastAsia"/>
              <w:sz w:val="21"/>
              <w:szCs w:val="21"/>
              <w:highlight w:val="none"/>
            </w:rPr>
            <w:fldChar w:fldCharType="end"/>
          </w:r>
        </w:p>
        <w:p w14:paraId="41692128">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6.</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技术通用要求</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_Toc208994366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5</w:t>
          </w:r>
          <w:r>
            <w:rPr>
              <w:rFonts w:hint="eastAsia" w:asciiTheme="minorEastAsia" w:hAnsiTheme="minorEastAsia" w:eastAsiaTheme="minorEastAsia" w:cstheme="minorEastAsia"/>
              <w:sz w:val="21"/>
              <w:szCs w:val="21"/>
              <w:highlight w:val="none"/>
            </w:rPr>
            <w:fldChar w:fldCharType="end"/>
          </w:r>
        </w:p>
        <w:p w14:paraId="7929C555">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6.1.</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检测对象与范围</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_Toc208994367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5</w:t>
          </w:r>
          <w:r>
            <w:rPr>
              <w:rFonts w:hint="eastAsia" w:asciiTheme="minorEastAsia" w:hAnsiTheme="minorEastAsia" w:eastAsiaTheme="minorEastAsia" w:cstheme="minorEastAsia"/>
              <w:sz w:val="21"/>
              <w:szCs w:val="21"/>
              <w:highlight w:val="none"/>
            </w:rPr>
            <w:fldChar w:fldCharType="end"/>
          </w:r>
        </w:p>
        <w:p w14:paraId="52844AD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6.2.</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方法性能底线</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_Toc208994368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5</w:t>
          </w:r>
          <w:r>
            <w:rPr>
              <w:rFonts w:hint="eastAsia" w:asciiTheme="minorEastAsia" w:hAnsiTheme="minorEastAsia" w:eastAsiaTheme="minorEastAsia" w:cstheme="minorEastAsia"/>
              <w:sz w:val="21"/>
              <w:szCs w:val="21"/>
              <w:highlight w:val="none"/>
            </w:rPr>
            <w:fldChar w:fldCharType="end"/>
          </w:r>
        </w:p>
        <w:p w14:paraId="3838B2DD">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6.3.</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标准曲线</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_Toc208994369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72329310">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6.4.</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有效期与稳定性</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_Toc208994370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1940B14B">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7.</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实施流程</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_Toc208994371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61DE540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7.1.</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取样与运输</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_Toc208994372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294B4D57">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7.2.</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前处理</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_Toc208994373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48E2DB8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lang w:eastAsia="zh-CN"/>
            </w:rPr>
            <w:t>7.3.</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lang w:eastAsia="zh-CN"/>
            </w:rPr>
            <w:t>检测操作</w:t>
          </w:r>
          <w:r>
            <w:rPr>
              <w:rFonts w:hint="eastAsia" w:asciiTheme="minorEastAsia" w:hAnsiTheme="minorEastAsia" w:eastAsiaTheme="minorEastAsia" w:cstheme="minorEastAsia"/>
              <w:sz w:val="21"/>
              <w:szCs w:val="21"/>
              <w:highlight w:val="none"/>
              <w:lang w:eastAsia="zh-CN"/>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lang w:eastAsia="zh-CN"/>
            </w:rPr>
            <w:instrText xml:space="preserve"> PAGEREF _Toc208994374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lang w:eastAsia="zh-CN"/>
            </w:rPr>
            <w:t>6</w:t>
          </w:r>
          <w:r>
            <w:rPr>
              <w:rFonts w:hint="eastAsia" w:asciiTheme="minorEastAsia" w:hAnsiTheme="minorEastAsia" w:eastAsiaTheme="minorEastAsia" w:cstheme="minorEastAsia"/>
              <w:sz w:val="21"/>
              <w:szCs w:val="21"/>
              <w:highlight w:val="none"/>
            </w:rPr>
            <w:fldChar w:fldCharType="end"/>
          </w:r>
        </w:p>
        <w:p w14:paraId="420D54A3">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highlight w:val="none"/>
              <w:lang w:eastAsia="zh-CN"/>
              <w14:ligatures w14:val="standardContextual"/>
            </w:rPr>
          </w:pPr>
          <w:r>
            <w:rPr>
              <w:rFonts w:hint="eastAsia" w:asciiTheme="minorEastAsia" w:hAnsiTheme="minorEastAsia" w:eastAsiaTheme="minorEastAsia" w:cstheme="minorEastAsia"/>
              <w:color w:val="auto"/>
              <w:spacing w:val="7"/>
              <w:sz w:val="21"/>
              <w:szCs w:val="21"/>
              <w:highlight w:val="none"/>
            </w:rPr>
            <w:t>7.4.</w:t>
          </w:r>
          <w:r>
            <w:rPr>
              <w:rFonts w:hint="eastAsia" w:asciiTheme="minorEastAsia" w:hAnsiTheme="minorEastAsia" w:eastAsiaTheme="minorEastAsia" w:cstheme="minorEastAsia"/>
              <w:snapToGrid/>
              <w:color w:val="auto"/>
              <w:kern w:val="2"/>
              <w:sz w:val="21"/>
              <w:szCs w:val="21"/>
              <w:highlight w:val="none"/>
              <w:lang w:eastAsia="zh-CN"/>
              <w14:ligatures w14:val="standardContextual"/>
            </w:rPr>
            <w:tab/>
          </w:r>
          <w:r>
            <w:rPr>
              <w:rFonts w:hint="eastAsia" w:asciiTheme="minorEastAsia" w:hAnsiTheme="minorEastAsia" w:eastAsiaTheme="minorEastAsia" w:cstheme="minorEastAsia"/>
              <w:color w:val="auto"/>
              <w:spacing w:val="7"/>
              <w:sz w:val="21"/>
              <w:szCs w:val="21"/>
              <w:highlight w:val="none"/>
            </w:rPr>
            <w:t>结果判定与处置</w:t>
          </w:r>
          <w:r>
            <w:rPr>
              <w:rFonts w:hint="eastAsia" w:asciiTheme="minorEastAsia" w:hAnsiTheme="minorEastAsia" w:eastAsiaTheme="minorEastAsia" w:cstheme="minorEastAsia"/>
              <w:sz w:val="21"/>
              <w:szCs w:val="21"/>
              <w:highlight w:val="none"/>
            </w:rPr>
            <w:tab/>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 PAGEREF _Toc208994375 \h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rPr>
            <w:t>6</w:t>
          </w:r>
          <w:r>
            <w:rPr>
              <w:rFonts w:hint="eastAsia" w:asciiTheme="minorEastAsia" w:hAnsiTheme="minorEastAsia" w:eastAsiaTheme="minorEastAsia" w:cstheme="minorEastAsia"/>
              <w:sz w:val="21"/>
              <w:szCs w:val="21"/>
              <w:highlight w:val="none"/>
            </w:rPr>
            <w:fldChar w:fldCharType="end"/>
          </w:r>
        </w:p>
        <w:p w14:paraId="3273C5EA">
          <w:pPr>
            <w:keepNext w:val="0"/>
            <w:keepLines w:val="0"/>
            <w:pageBreakBefore w:val="0"/>
            <w:widowControl/>
            <w:tabs>
              <w:tab w:val="right" w:leader="dot" w:pos="8363"/>
            </w:tabs>
            <w:kinsoku w:val="0"/>
            <w:wordWrap/>
            <w:overflowPunct/>
            <w:topLinePunct w:val="0"/>
            <w:autoSpaceDE w:val="0"/>
            <w:autoSpaceDN w:val="0"/>
            <w:bidi w:val="0"/>
            <w:adjustRightInd w:val="0"/>
            <w:snapToGrid w:val="0"/>
            <w:spacing w:before="65" w:line="276" w:lineRule="auto"/>
            <w:ind w:left="8" w:hanging="1"/>
            <w:textAlignment w:val="baseline"/>
            <w:rPr>
              <w:color w:val="auto"/>
              <w:lang w:eastAsia="zh-CN"/>
            </w:rPr>
          </w:pPr>
          <w:r>
            <w:rPr>
              <w:rFonts w:hint="eastAsia" w:asciiTheme="minorEastAsia" w:hAnsiTheme="minorEastAsia" w:eastAsiaTheme="minorEastAsia" w:cstheme="minorEastAsia"/>
              <w:color w:val="auto"/>
              <w:sz w:val="21"/>
              <w:szCs w:val="21"/>
              <w:highlight w:val="none"/>
            </w:rPr>
            <w:fldChar w:fldCharType="end"/>
          </w:r>
        </w:p>
        <w:p w14:paraId="1E7C6F7C">
          <w:pPr>
            <w:tabs>
              <w:tab w:val="right" w:leader="dot" w:pos="9350"/>
            </w:tabs>
            <w:spacing w:before="191" w:line="228" w:lineRule="auto"/>
            <w:ind w:left="7"/>
            <w:rPr>
              <w:rFonts w:hint="eastAsia" w:ascii="宋体" w:hAnsi="宋体" w:eastAsia="宋体" w:cs="宋体"/>
              <w:color w:val="auto"/>
              <w:sz w:val="20"/>
              <w:szCs w:val="20"/>
              <w:lang w:eastAsia="zh-CN"/>
            </w:rPr>
            <w:sectPr>
              <w:headerReference r:id="rId6" w:type="first"/>
              <w:footerReference r:id="rId8" w:type="first"/>
              <w:footerReference r:id="rId7" w:type="default"/>
              <w:pgSz w:w="11906" w:h="16839"/>
              <w:pgMar w:top="1440" w:right="1803" w:bottom="1440" w:left="1803" w:header="850" w:footer="992" w:gutter="0"/>
              <w:cols w:space="720" w:num="1"/>
              <w:titlePg/>
              <w:docGrid w:linePitch="286" w:charSpace="0"/>
            </w:sectPr>
          </w:pPr>
        </w:p>
      </w:sdtContent>
    </w:sdt>
    <w:p w14:paraId="26CDBAD8">
      <w:pPr>
        <w:pStyle w:val="6"/>
        <w:spacing w:before="101" w:line="228" w:lineRule="auto"/>
        <w:ind w:left="4253"/>
        <w:outlineLvl w:val="0"/>
        <w:rPr>
          <w:rFonts w:hint="eastAsia"/>
          <w:color w:val="auto"/>
          <w:spacing w:val="-2"/>
          <w:sz w:val="31"/>
          <w:szCs w:val="31"/>
          <w:lang w:eastAsia="zh-CN"/>
        </w:rPr>
      </w:pPr>
      <w:bookmarkStart w:id="7" w:name="bookmark1"/>
      <w:bookmarkEnd w:id="7"/>
      <w:bookmarkStart w:id="8" w:name="bookmark2"/>
      <w:bookmarkEnd w:id="8"/>
    </w:p>
    <w:p w14:paraId="3D85BF4B">
      <w:pPr>
        <w:pStyle w:val="6"/>
        <w:spacing w:before="101" w:line="228" w:lineRule="auto"/>
        <w:ind w:left="4253"/>
        <w:outlineLvl w:val="0"/>
        <w:rPr>
          <w:rFonts w:hint="eastAsia"/>
          <w:color w:val="auto"/>
          <w:sz w:val="31"/>
          <w:szCs w:val="31"/>
          <w:lang w:eastAsia="zh-CN"/>
        </w:rPr>
      </w:pPr>
      <w:bookmarkStart w:id="9" w:name="_Toc208994360"/>
      <w:r>
        <w:rPr>
          <w:color w:val="auto"/>
          <w:spacing w:val="-2"/>
          <w:sz w:val="31"/>
          <w:szCs w:val="31"/>
          <w:lang w:eastAsia="zh-CN"/>
        </w:rPr>
        <w:t>前</w:t>
      </w:r>
      <w:r>
        <w:rPr>
          <w:color w:val="auto"/>
          <w:spacing w:val="11"/>
          <w:sz w:val="31"/>
          <w:szCs w:val="31"/>
          <w:lang w:eastAsia="zh-CN"/>
        </w:rPr>
        <w:t xml:space="preserve">    </w:t>
      </w:r>
      <w:r>
        <w:rPr>
          <w:color w:val="auto"/>
          <w:spacing w:val="-2"/>
          <w:sz w:val="31"/>
          <w:szCs w:val="31"/>
          <w:lang w:eastAsia="zh-CN"/>
        </w:rPr>
        <w:t>言</w:t>
      </w:r>
      <w:bookmarkEnd w:id="9"/>
    </w:p>
    <w:p w14:paraId="4F087D62">
      <w:pPr>
        <w:spacing w:line="360" w:lineRule="auto"/>
        <w:rPr>
          <w:color w:val="auto"/>
          <w:lang w:eastAsia="zh-CN"/>
        </w:rPr>
      </w:pPr>
    </w:p>
    <w:p w14:paraId="13BEE9FA">
      <w:pPr>
        <w:spacing w:line="360" w:lineRule="auto"/>
        <w:ind w:firstLine="420"/>
        <w:rPr>
          <w:rFonts w:hint="eastAsia" w:asciiTheme="minorEastAsia" w:hAnsiTheme="minorEastAsia" w:eastAsiaTheme="minorEastAsia" w:cstheme="minorEastAsia"/>
          <w:color w:val="auto"/>
          <w:spacing w:val="9"/>
          <w:sz w:val="21"/>
          <w:szCs w:val="21"/>
          <w:lang w:eastAsia="zh-CN"/>
        </w:rPr>
      </w:pPr>
      <w:r>
        <w:rPr>
          <w:rFonts w:hint="eastAsia" w:asciiTheme="minorEastAsia" w:hAnsiTheme="minorEastAsia" w:eastAsiaTheme="minorEastAsia" w:cstheme="minorEastAsia"/>
          <w:color w:val="auto"/>
          <w:spacing w:val="9"/>
          <w:sz w:val="21"/>
          <w:szCs w:val="21"/>
          <w:lang w:eastAsia="zh-CN"/>
        </w:rPr>
        <w:t>本文件按照GB/T 1.1—2020 《标准化工作导则 第1部分：标准化文件的结构和起草规则》的规定起草。</w:t>
      </w:r>
    </w:p>
    <w:p w14:paraId="1E22D957">
      <w:pPr>
        <w:spacing w:line="360" w:lineRule="auto"/>
        <w:ind w:firstLine="420"/>
        <w:rPr>
          <w:rFonts w:hint="eastAsia" w:asciiTheme="minorEastAsia" w:hAnsiTheme="minorEastAsia" w:eastAsiaTheme="minorEastAsia" w:cstheme="minorEastAsia"/>
          <w:color w:val="auto"/>
          <w:spacing w:val="9"/>
          <w:sz w:val="21"/>
          <w:szCs w:val="21"/>
          <w:lang w:eastAsia="zh-CN"/>
        </w:rPr>
      </w:pPr>
      <w:r>
        <w:rPr>
          <w:rFonts w:hint="eastAsia" w:asciiTheme="minorEastAsia" w:hAnsiTheme="minorEastAsia" w:eastAsiaTheme="minorEastAsia" w:cstheme="minorEastAsia"/>
          <w:color w:val="auto"/>
          <w:spacing w:val="9"/>
          <w:sz w:val="21"/>
          <w:szCs w:val="21"/>
          <w:lang w:eastAsia="zh-CN"/>
        </w:rPr>
        <w:t>请注意本文件的某些内容可能涉及专利。本文件的发布机构不承担识别这些专利的责任。</w:t>
      </w:r>
    </w:p>
    <w:p w14:paraId="39F896F4">
      <w:pPr>
        <w:spacing w:line="360" w:lineRule="auto"/>
        <w:ind w:firstLine="420"/>
        <w:rPr>
          <w:rFonts w:hint="eastAsia" w:asciiTheme="minorEastAsia" w:hAnsiTheme="minorEastAsia" w:eastAsiaTheme="minorEastAsia" w:cstheme="minorEastAsia"/>
          <w:color w:val="auto"/>
          <w:spacing w:val="9"/>
          <w:sz w:val="21"/>
          <w:szCs w:val="21"/>
          <w:lang w:eastAsia="zh-CN"/>
        </w:rPr>
      </w:pPr>
      <w:r>
        <w:rPr>
          <w:rFonts w:hint="eastAsia" w:asciiTheme="minorEastAsia" w:hAnsiTheme="minorEastAsia" w:eastAsiaTheme="minorEastAsia" w:cstheme="minorEastAsia"/>
          <w:color w:val="auto"/>
          <w:spacing w:val="9"/>
          <w:sz w:val="21"/>
          <w:szCs w:val="21"/>
          <w:lang w:eastAsia="zh-CN"/>
        </w:rPr>
        <w:t>本文件由</w:t>
      </w:r>
      <w:r>
        <w:rPr>
          <w:rFonts w:hint="eastAsia" w:asciiTheme="minorEastAsia" w:hAnsiTheme="minorEastAsia" w:eastAsiaTheme="minorEastAsia" w:cstheme="minorEastAsia"/>
          <w:snapToGrid/>
          <w:color w:val="auto"/>
          <w:sz w:val="21"/>
          <w:szCs w:val="21"/>
          <w:lang w:val="en-US" w:eastAsia="zh-CN" w:bidi="ar-SA"/>
        </w:rPr>
        <w:t>香港中文大学（深圳）</w:t>
      </w:r>
      <w:r>
        <w:rPr>
          <w:rFonts w:hint="eastAsia" w:asciiTheme="minorEastAsia" w:hAnsiTheme="minorEastAsia" w:eastAsiaTheme="minorEastAsia" w:cstheme="minorEastAsia"/>
          <w:color w:val="auto"/>
          <w:spacing w:val="9"/>
          <w:sz w:val="21"/>
          <w:szCs w:val="21"/>
          <w:lang w:eastAsia="zh-CN"/>
        </w:rPr>
        <w:t>提出。</w:t>
      </w:r>
    </w:p>
    <w:p w14:paraId="374EB5CA">
      <w:pPr>
        <w:pStyle w:val="45"/>
        <w:spacing w:line="360" w:lineRule="auto"/>
        <w:ind w:firstLine="420"/>
        <w:rPr>
          <w:rFonts w:hint="eastAsia" w:asciiTheme="minorEastAsia" w:hAnsiTheme="minorEastAsia" w:eastAsiaTheme="minorEastAsia" w:cstheme="minorEastAsia"/>
          <w:color w:val="auto"/>
          <w:spacing w:val="9"/>
          <w:sz w:val="21"/>
          <w:szCs w:val="21"/>
          <w:lang w:eastAsia="zh-CN"/>
        </w:rPr>
      </w:pPr>
      <w:r>
        <w:rPr>
          <w:rFonts w:hint="eastAsia" w:asciiTheme="minorEastAsia" w:hAnsiTheme="minorEastAsia" w:eastAsiaTheme="minorEastAsia" w:cstheme="minorEastAsia"/>
          <w:sz w:val="21"/>
          <w:szCs w:val="21"/>
        </w:rPr>
        <w:t>本标准由中国食品药品企业质量安全促进会提出并归口。</w:t>
      </w:r>
    </w:p>
    <w:p w14:paraId="4464A341">
      <w:pPr>
        <w:spacing w:line="360" w:lineRule="auto"/>
        <w:ind w:firstLine="420"/>
        <w:rPr>
          <w:rFonts w:hint="eastAsia" w:asciiTheme="minorEastAsia" w:hAnsiTheme="minorEastAsia" w:eastAsiaTheme="minorEastAsia" w:cstheme="minorEastAsia"/>
          <w:snapToGrid/>
          <w:color w:val="auto"/>
          <w:sz w:val="21"/>
          <w:szCs w:val="21"/>
          <w:lang w:val="en-US" w:eastAsia="zh-CN" w:bidi="ar-SA"/>
        </w:rPr>
      </w:pPr>
      <w:r>
        <w:rPr>
          <w:rFonts w:hint="eastAsia" w:asciiTheme="minorEastAsia" w:hAnsiTheme="minorEastAsia" w:eastAsiaTheme="minorEastAsia" w:cstheme="minorEastAsia"/>
          <w:color w:val="auto"/>
          <w:spacing w:val="9"/>
          <w:sz w:val="21"/>
          <w:szCs w:val="21"/>
          <w:lang w:eastAsia="zh-CN"/>
        </w:rPr>
        <w:t>本文件主要起草单</w:t>
      </w:r>
      <w:r>
        <w:rPr>
          <w:rFonts w:hint="eastAsia" w:asciiTheme="minorEastAsia" w:hAnsiTheme="minorEastAsia" w:eastAsiaTheme="minorEastAsia" w:cstheme="minorEastAsia"/>
          <w:snapToGrid/>
          <w:color w:val="auto"/>
          <w:sz w:val="21"/>
          <w:szCs w:val="21"/>
          <w:lang w:val="en-US" w:eastAsia="zh-CN" w:bidi="ar-SA"/>
        </w:rPr>
        <w:t>位：。</w:t>
      </w:r>
    </w:p>
    <w:p w14:paraId="63D7DB30">
      <w:pPr>
        <w:spacing w:line="360" w:lineRule="auto"/>
        <w:ind w:firstLine="420"/>
        <w:rPr>
          <w:rFonts w:hint="eastAsia" w:asciiTheme="minorEastAsia" w:hAnsiTheme="minorEastAsia" w:eastAsiaTheme="minorEastAsia" w:cstheme="minorEastAsia"/>
          <w:color w:val="auto"/>
          <w:spacing w:val="9"/>
          <w:sz w:val="21"/>
          <w:szCs w:val="21"/>
          <w:lang w:eastAsia="zh-CN"/>
        </w:rPr>
      </w:pPr>
      <w:r>
        <w:rPr>
          <w:rFonts w:hint="eastAsia" w:asciiTheme="minorEastAsia" w:hAnsiTheme="minorEastAsia" w:eastAsiaTheme="minorEastAsia" w:cstheme="minorEastAsia"/>
          <w:color w:val="auto"/>
          <w:spacing w:val="9"/>
          <w:sz w:val="21"/>
          <w:szCs w:val="21"/>
          <w:lang w:eastAsia="zh-CN"/>
        </w:rPr>
        <w:t>参与起草单位：。</w:t>
      </w:r>
    </w:p>
    <w:p w14:paraId="6B00B3D3">
      <w:pPr>
        <w:spacing w:line="360" w:lineRule="auto"/>
        <w:ind w:firstLine="420"/>
        <w:rPr>
          <w:rFonts w:hint="eastAsia" w:asciiTheme="minorEastAsia" w:hAnsiTheme="minorEastAsia" w:eastAsiaTheme="minorEastAsia" w:cstheme="minorEastAsia"/>
          <w:color w:val="auto"/>
          <w:sz w:val="21"/>
          <w:szCs w:val="21"/>
          <w:lang w:eastAsia="zh-CN"/>
        </w:rPr>
        <w:sectPr>
          <w:footerReference r:id="rId9" w:type="default"/>
          <w:pgSz w:w="11906" w:h="16839"/>
          <w:pgMar w:top="1431" w:right="1063" w:bottom="1560" w:left="1423" w:header="850" w:footer="992" w:gutter="0"/>
          <w:cols w:space="720" w:num="1"/>
          <w:docGrid w:linePitch="286" w:charSpace="0"/>
        </w:sectPr>
      </w:pPr>
      <w:r>
        <w:rPr>
          <w:rFonts w:hint="eastAsia" w:asciiTheme="minorEastAsia" w:hAnsiTheme="minorEastAsia" w:eastAsiaTheme="minorEastAsia" w:cstheme="minorEastAsia"/>
          <w:color w:val="auto"/>
          <w:spacing w:val="9"/>
          <w:sz w:val="21"/>
          <w:szCs w:val="21"/>
          <w:lang w:eastAsia="zh-CN"/>
        </w:rPr>
        <w:t>本文件主要起草人：。</w:t>
      </w:r>
    </w:p>
    <w:p w14:paraId="14FF9B5E">
      <w:pPr>
        <w:spacing w:line="465" w:lineRule="auto"/>
        <w:jc w:val="center"/>
        <w:rPr>
          <w:rFonts w:hint="eastAsia" w:ascii="黑体" w:hAnsi="黑体" w:eastAsia="黑体" w:cs="黑体"/>
          <w:color w:val="auto"/>
          <w:spacing w:val="9"/>
          <w:sz w:val="31"/>
          <w:szCs w:val="31"/>
          <w:lang w:eastAsia="zh-CN"/>
        </w:rPr>
      </w:pPr>
      <w:bookmarkStart w:id="10" w:name="_Hlk207209845"/>
      <w:r>
        <w:rPr>
          <w:rFonts w:ascii="黑体" w:hAnsi="黑体" w:eastAsia="黑体" w:cs="黑体"/>
          <w:color w:val="auto"/>
          <w:spacing w:val="9"/>
          <w:sz w:val="31"/>
          <w:szCs w:val="31"/>
          <w:lang w:eastAsia="zh-CN"/>
        </w:rPr>
        <w:t>果蔬中农药残留快速定量检测 荧光定量免疫层析试纸条法技术规范</w:t>
      </w:r>
    </w:p>
    <w:bookmarkEnd w:id="10"/>
    <w:p w14:paraId="2CF8266A">
      <w:pPr>
        <w:pStyle w:val="6"/>
        <w:numPr>
          <w:ilvl w:val="0"/>
          <w:numId w:val="1"/>
        </w:numPr>
        <w:spacing w:before="265" w:line="230" w:lineRule="auto"/>
        <w:outlineLvl w:val="0"/>
        <w:rPr>
          <w:rFonts w:hint="eastAsia"/>
          <w:color w:val="auto"/>
          <w:sz w:val="20"/>
          <w:szCs w:val="20"/>
          <w:lang w:eastAsia="zh-CN"/>
        </w:rPr>
      </w:pPr>
      <w:bookmarkStart w:id="11" w:name="bookmark3"/>
      <w:bookmarkEnd w:id="11"/>
      <w:bookmarkStart w:id="12" w:name="_Toc208994361"/>
      <w:r>
        <w:rPr>
          <w:color w:val="auto"/>
          <w:spacing w:val="7"/>
          <w:sz w:val="20"/>
          <w:szCs w:val="20"/>
          <w:lang w:eastAsia="zh-CN"/>
        </w:rPr>
        <w:t>范围</w:t>
      </w:r>
      <w:bookmarkEnd w:id="12"/>
    </w:p>
    <w:p w14:paraId="46E66C00">
      <w:pPr>
        <w:spacing w:before="260" w:line="360" w:lineRule="auto"/>
        <w:ind w:left="8" w:firstLine="418"/>
        <w:rPr>
          <w:rFonts w:hint="eastAsia" w:ascii="宋体" w:hAnsi="宋体" w:eastAsia="宋体" w:cs="宋体"/>
          <w:color w:val="auto"/>
          <w:spacing w:val="9"/>
          <w:sz w:val="21"/>
          <w:szCs w:val="21"/>
          <w:lang w:eastAsia="zh-CN"/>
        </w:rPr>
      </w:pPr>
      <w:r>
        <w:rPr>
          <w:rFonts w:ascii="宋体" w:hAnsi="宋体" w:eastAsia="宋体" w:cs="宋体"/>
          <w:color w:val="auto"/>
          <w:spacing w:val="9"/>
          <w:sz w:val="21"/>
          <w:szCs w:val="21"/>
          <w:lang w:eastAsia="zh-CN"/>
        </w:rPr>
        <w:t>本文件规定了在果蔬生产、流通、消费环节中应用荧光定量免疫层析试纸条法开展农药残留快速定量检测所应遵循的基本原则、通用要求、实施流程、质量控制与</w:t>
      </w:r>
      <w:r>
        <w:rPr>
          <w:rFonts w:hint="eastAsia" w:ascii="宋体" w:hAnsi="宋体" w:eastAsia="宋体" w:cs="宋体"/>
          <w:color w:val="auto"/>
          <w:spacing w:val="9"/>
          <w:sz w:val="21"/>
          <w:szCs w:val="21"/>
          <w:lang w:eastAsia="zh-CN"/>
        </w:rPr>
        <w:t>结果判定</w:t>
      </w:r>
      <w:r>
        <w:rPr>
          <w:rFonts w:ascii="宋体" w:hAnsi="宋体" w:eastAsia="宋体" w:cs="宋体"/>
          <w:color w:val="auto"/>
          <w:spacing w:val="9"/>
          <w:sz w:val="21"/>
          <w:szCs w:val="21"/>
          <w:lang w:eastAsia="zh-CN"/>
        </w:rPr>
        <w:t>。</w:t>
      </w:r>
    </w:p>
    <w:p w14:paraId="10CA1E62">
      <w:pPr>
        <w:spacing w:before="260" w:line="360" w:lineRule="auto"/>
        <w:ind w:left="8" w:firstLine="418"/>
        <w:rPr>
          <w:rFonts w:hint="eastAsia" w:ascii="宋体" w:hAnsi="宋体" w:eastAsia="宋体" w:cs="宋体"/>
          <w:color w:val="auto"/>
          <w:spacing w:val="9"/>
          <w:sz w:val="21"/>
          <w:szCs w:val="21"/>
          <w:lang w:eastAsia="zh-CN"/>
        </w:rPr>
      </w:pPr>
      <w:r>
        <w:rPr>
          <w:rFonts w:ascii="宋体" w:hAnsi="宋体" w:eastAsia="宋体" w:cs="宋体"/>
          <w:color w:val="auto"/>
          <w:spacing w:val="9"/>
          <w:sz w:val="21"/>
          <w:szCs w:val="21"/>
          <w:lang w:eastAsia="zh-CN"/>
        </w:rPr>
        <w:t>中华人民共和国境内生产和经营的</w:t>
      </w:r>
      <w:r>
        <w:rPr>
          <w:rFonts w:hint="eastAsia" w:ascii="宋体" w:hAnsi="宋体" w:eastAsia="宋体" w:cs="宋体"/>
          <w:color w:val="auto"/>
          <w:spacing w:val="9"/>
          <w:sz w:val="21"/>
          <w:szCs w:val="21"/>
          <w:lang w:eastAsia="zh-CN"/>
        </w:rPr>
        <w:t>农药</w:t>
      </w:r>
      <w:r>
        <w:rPr>
          <w:rFonts w:ascii="宋体" w:hAnsi="宋体" w:eastAsia="宋体" w:cs="宋体"/>
          <w:color w:val="auto"/>
          <w:spacing w:val="9"/>
          <w:sz w:val="21"/>
          <w:szCs w:val="21"/>
          <w:lang w:eastAsia="zh-CN"/>
        </w:rPr>
        <w:t>检测。</w:t>
      </w:r>
    </w:p>
    <w:p w14:paraId="34FC5C09">
      <w:pPr>
        <w:pStyle w:val="6"/>
        <w:numPr>
          <w:ilvl w:val="0"/>
          <w:numId w:val="1"/>
        </w:numPr>
        <w:spacing w:before="265" w:line="360" w:lineRule="auto"/>
        <w:outlineLvl w:val="0"/>
        <w:rPr>
          <w:rFonts w:hint="eastAsia"/>
          <w:color w:val="auto"/>
          <w:spacing w:val="7"/>
          <w:sz w:val="20"/>
          <w:szCs w:val="20"/>
          <w:lang w:eastAsia="zh-CN"/>
        </w:rPr>
      </w:pPr>
      <w:bookmarkStart w:id="13" w:name="_Toc208994362"/>
      <w:r>
        <w:rPr>
          <w:color w:val="auto"/>
          <w:spacing w:val="7"/>
          <w:sz w:val="20"/>
          <w:szCs w:val="20"/>
          <w:lang w:eastAsia="zh-CN"/>
        </w:rPr>
        <w:t>规范性引用文件</w:t>
      </w:r>
      <w:bookmarkEnd w:id="13"/>
    </w:p>
    <w:p w14:paraId="50639538">
      <w:pPr>
        <w:spacing w:before="263" w:line="360" w:lineRule="auto"/>
        <w:ind w:left="3" w:right="4" w:firstLine="428"/>
        <w:jc w:val="both"/>
        <w:rPr>
          <w:rFonts w:hint="eastAsia" w:ascii="宋体" w:hAnsi="宋体" w:eastAsia="宋体" w:cs="宋体"/>
          <w:color w:val="auto"/>
          <w:sz w:val="21"/>
          <w:szCs w:val="21"/>
          <w:lang w:eastAsia="zh-CN"/>
        </w:rPr>
      </w:pPr>
      <w:r>
        <w:rPr>
          <w:rFonts w:ascii="宋体" w:hAnsi="宋体" w:eastAsia="宋体" w:cs="宋体"/>
          <w:color w:val="auto"/>
          <w:spacing w:val="4"/>
          <w:sz w:val="21"/>
          <w:szCs w:val="21"/>
          <w:lang w:eastAsia="zh-CN"/>
        </w:rPr>
        <w:t>下列文件中的内容通过文中的规范性引用而构成本文件必不可少的条款。其中，注日期的引用文</w:t>
      </w:r>
      <w:r>
        <w:rPr>
          <w:rFonts w:ascii="宋体" w:hAnsi="宋体" w:eastAsia="宋体" w:cs="宋体"/>
          <w:color w:val="auto"/>
          <w:spacing w:val="3"/>
          <w:sz w:val="21"/>
          <w:szCs w:val="21"/>
          <w:lang w:eastAsia="zh-CN"/>
        </w:rPr>
        <w:t>件，</w:t>
      </w:r>
      <w:r>
        <w:rPr>
          <w:rFonts w:ascii="宋体" w:hAnsi="宋体" w:eastAsia="宋体" w:cs="宋体"/>
          <w:color w:val="auto"/>
          <w:spacing w:val="8"/>
          <w:sz w:val="21"/>
          <w:szCs w:val="21"/>
          <w:lang w:eastAsia="zh-CN"/>
        </w:rPr>
        <w:t>仅该日期对应的版本适用于本文件；不注日期的引用文件，其最新版</w:t>
      </w:r>
      <w:r>
        <w:rPr>
          <w:rFonts w:ascii="宋体" w:hAnsi="宋体" w:eastAsia="宋体" w:cs="宋体"/>
          <w:color w:val="auto"/>
          <w:spacing w:val="7"/>
          <w:sz w:val="21"/>
          <w:szCs w:val="21"/>
          <w:lang w:eastAsia="zh-CN"/>
        </w:rPr>
        <w:t>本（包括所有的修改单）适用于本</w:t>
      </w:r>
      <w:r>
        <w:rPr>
          <w:rFonts w:ascii="宋体" w:hAnsi="宋体" w:eastAsia="宋体" w:cs="宋体"/>
          <w:color w:val="auto"/>
          <w:spacing w:val="3"/>
          <w:sz w:val="21"/>
          <w:szCs w:val="21"/>
          <w:lang w:eastAsia="zh-CN"/>
        </w:rPr>
        <w:t>文件。</w:t>
      </w:r>
    </w:p>
    <w:p w14:paraId="176057EB">
      <w:pPr>
        <w:shd w:val="clear" w:color="auto" w:fill="FFFFFF"/>
        <w:spacing w:line="360" w:lineRule="auto"/>
        <w:ind w:firstLine="436" w:firstLineChars="200"/>
        <w:rPr>
          <w:rFonts w:hint="eastAsia" w:ascii="宋体" w:hAnsi="宋体" w:eastAsia="宋体" w:cs="宋体"/>
          <w:color w:val="auto"/>
          <w:spacing w:val="4"/>
          <w:sz w:val="21"/>
          <w:szCs w:val="21"/>
          <w:lang w:eastAsia="zh-CN"/>
        </w:rPr>
      </w:pPr>
      <w:r>
        <w:rPr>
          <w:rFonts w:hint="eastAsia" w:ascii="宋体" w:hAnsi="宋体" w:eastAsia="宋体" w:cs="宋体"/>
          <w:color w:val="auto"/>
          <w:spacing w:val="4"/>
          <w:sz w:val="21"/>
          <w:szCs w:val="21"/>
          <w:lang w:eastAsia="zh-CN"/>
        </w:rPr>
        <w:t>GB 2763食品安全国家标准 食品中农药最大残留限量</w:t>
      </w:r>
    </w:p>
    <w:p w14:paraId="66198C4A">
      <w:pPr>
        <w:shd w:val="clear" w:color="auto" w:fill="FFFFFF"/>
        <w:spacing w:line="360" w:lineRule="auto"/>
        <w:ind w:firstLine="436" w:firstLineChars="200"/>
        <w:rPr>
          <w:rFonts w:hint="eastAsia" w:ascii="宋体" w:hAnsi="宋体" w:eastAsia="宋体" w:cs="宋体"/>
          <w:color w:val="auto"/>
          <w:spacing w:val="4"/>
          <w:sz w:val="21"/>
          <w:szCs w:val="21"/>
          <w:lang w:eastAsia="zh-CN"/>
        </w:rPr>
      </w:pPr>
      <w:r>
        <w:rPr>
          <w:rFonts w:ascii="宋体" w:hAnsi="宋体" w:eastAsia="宋体" w:cs="宋体"/>
          <w:color w:val="auto"/>
          <w:spacing w:val="4"/>
          <w:sz w:val="21"/>
          <w:szCs w:val="21"/>
          <w:lang w:eastAsia="zh-CN"/>
        </w:rPr>
        <w:t xml:space="preserve">NY/T 789 </w:t>
      </w:r>
      <w:r>
        <w:rPr>
          <w:rFonts w:hint="eastAsia" w:ascii="宋体" w:hAnsi="宋体" w:eastAsia="宋体" w:cs="宋体"/>
          <w:color w:val="auto"/>
          <w:spacing w:val="4"/>
          <w:sz w:val="21"/>
          <w:szCs w:val="21"/>
          <w:lang w:eastAsia="zh-CN"/>
        </w:rPr>
        <w:t>农药残留分析样本的采样方法</w:t>
      </w:r>
    </w:p>
    <w:p w14:paraId="7D27DC61">
      <w:pPr>
        <w:shd w:val="clear" w:color="auto" w:fill="FFFFFF"/>
        <w:spacing w:line="360" w:lineRule="auto"/>
        <w:ind w:firstLine="436" w:firstLineChars="200"/>
        <w:rPr>
          <w:rFonts w:hint="eastAsia" w:ascii="宋体" w:hAnsi="宋体" w:eastAsia="宋体" w:cs="宋体"/>
          <w:color w:val="auto"/>
          <w:spacing w:val="4"/>
          <w:sz w:val="21"/>
          <w:szCs w:val="21"/>
          <w:lang w:eastAsia="zh-CN"/>
        </w:rPr>
      </w:pPr>
      <w:r>
        <w:rPr>
          <w:rFonts w:hint="eastAsia" w:ascii="宋体" w:hAnsi="宋体" w:eastAsia="宋体" w:cs="宋体"/>
          <w:color w:val="auto"/>
          <w:spacing w:val="4"/>
          <w:sz w:val="21"/>
          <w:szCs w:val="21"/>
          <w:lang w:eastAsia="zh-CN"/>
        </w:rPr>
        <w:t>国家市场监管总局《食品快速检测方法评价技术规范》（国市监食检规〔</w:t>
      </w:r>
      <w:r>
        <w:rPr>
          <w:rFonts w:ascii="宋体" w:hAnsi="宋体" w:eastAsia="宋体" w:cs="宋体"/>
          <w:color w:val="auto"/>
          <w:spacing w:val="4"/>
          <w:sz w:val="21"/>
          <w:szCs w:val="21"/>
          <w:lang w:eastAsia="zh-CN"/>
        </w:rPr>
        <w:t>2022</w:t>
      </w:r>
      <w:r>
        <w:rPr>
          <w:rFonts w:hint="eastAsia" w:ascii="宋体" w:hAnsi="宋体" w:eastAsia="宋体" w:cs="宋体"/>
          <w:color w:val="auto"/>
          <w:spacing w:val="4"/>
          <w:sz w:val="21"/>
          <w:szCs w:val="21"/>
          <w:lang w:eastAsia="zh-CN"/>
        </w:rPr>
        <w:t>〕</w:t>
      </w:r>
      <w:r>
        <w:rPr>
          <w:rFonts w:ascii="宋体" w:hAnsi="宋体" w:eastAsia="宋体" w:cs="宋体"/>
          <w:color w:val="auto"/>
          <w:spacing w:val="4"/>
          <w:sz w:val="21"/>
          <w:szCs w:val="21"/>
          <w:lang w:eastAsia="zh-CN"/>
        </w:rPr>
        <w:t>1</w:t>
      </w:r>
      <w:r>
        <w:rPr>
          <w:rFonts w:hint="eastAsia" w:ascii="宋体" w:hAnsi="宋体" w:eastAsia="宋体" w:cs="宋体"/>
          <w:color w:val="auto"/>
          <w:spacing w:val="4"/>
          <w:sz w:val="21"/>
          <w:szCs w:val="21"/>
          <w:lang w:eastAsia="zh-CN"/>
        </w:rPr>
        <w:t>号）</w:t>
      </w:r>
    </w:p>
    <w:p w14:paraId="7D3E6BD9">
      <w:pPr>
        <w:pStyle w:val="6"/>
        <w:numPr>
          <w:ilvl w:val="0"/>
          <w:numId w:val="1"/>
        </w:numPr>
        <w:spacing w:before="265" w:line="360" w:lineRule="auto"/>
        <w:outlineLvl w:val="0"/>
        <w:rPr>
          <w:rFonts w:hint="eastAsia"/>
          <w:color w:val="auto"/>
          <w:spacing w:val="7"/>
          <w:sz w:val="20"/>
          <w:szCs w:val="20"/>
          <w:lang w:eastAsia="zh-CN"/>
        </w:rPr>
      </w:pPr>
      <w:bookmarkStart w:id="14" w:name="bookmark7"/>
      <w:bookmarkEnd w:id="14"/>
      <w:bookmarkStart w:id="15" w:name="bookmark8"/>
      <w:bookmarkEnd w:id="15"/>
      <w:bookmarkStart w:id="16" w:name="_Toc208994363"/>
      <w:r>
        <w:rPr>
          <w:color w:val="auto"/>
          <w:spacing w:val="7"/>
          <w:sz w:val="20"/>
          <w:szCs w:val="20"/>
          <w:lang w:eastAsia="zh-CN"/>
        </w:rPr>
        <w:t>术语和定义</w:t>
      </w:r>
      <w:bookmarkEnd w:id="16"/>
    </w:p>
    <w:p w14:paraId="5EBC525A">
      <w:pPr>
        <w:pStyle w:val="6"/>
        <w:spacing w:before="263" w:line="360" w:lineRule="auto"/>
        <w:ind w:left="5" w:right="766" w:firstLine="426"/>
        <w:rPr>
          <w:rFonts w:hint="eastAsia" w:ascii="宋体" w:hAnsi="宋体" w:eastAsia="宋体" w:cs="宋体"/>
          <w:color w:val="auto"/>
          <w:spacing w:val="6"/>
          <w:sz w:val="21"/>
          <w:szCs w:val="21"/>
          <w:lang w:eastAsia="zh-CN"/>
        </w:rPr>
      </w:pPr>
      <w:r>
        <w:rPr>
          <w:rFonts w:ascii="宋体" w:hAnsi="宋体" w:eastAsia="宋体" w:cs="宋体"/>
          <w:color w:val="auto"/>
          <w:spacing w:val="6"/>
          <w:sz w:val="21"/>
          <w:szCs w:val="21"/>
          <w:lang w:eastAsia="zh-CN"/>
        </w:rPr>
        <w:t>下列术语和定义适用于本文件。</w:t>
      </w:r>
    </w:p>
    <w:p w14:paraId="7469FE9D">
      <w:pPr>
        <w:pStyle w:val="6"/>
        <w:spacing w:before="263" w:line="360" w:lineRule="auto"/>
        <w:ind w:right="766"/>
        <w:rPr>
          <w:rFonts w:hint="eastAsia"/>
          <w:color w:val="auto"/>
          <w:spacing w:val="16"/>
          <w:sz w:val="20"/>
          <w:szCs w:val="20"/>
          <w:lang w:eastAsia="zh-CN"/>
        </w:rPr>
      </w:pPr>
      <w:r>
        <w:rPr>
          <w:rFonts w:ascii="宋体" w:hAnsi="宋体" w:eastAsia="宋体" w:cs="宋体"/>
          <w:color w:val="auto"/>
          <w:spacing w:val="5"/>
          <w:sz w:val="20"/>
          <w:szCs w:val="20"/>
          <w:lang w:eastAsia="zh-CN"/>
        </w:rPr>
        <w:t xml:space="preserve"> </w:t>
      </w:r>
      <w:r>
        <w:rPr>
          <w:color w:val="auto"/>
          <w:spacing w:val="2"/>
          <w:sz w:val="20"/>
          <w:szCs w:val="20"/>
          <w:lang w:eastAsia="zh-CN"/>
        </w:rPr>
        <w:t>3.1</w:t>
      </w:r>
      <w:r>
        <w:rPr>
          <w:color w:val="auto"/>
          <w:spacing w:val="16"/>
          <w:sz w:val="20"/>
          <w:szCs w:val="20"/>
          <w:lang w:eastAsia="zh-CN"/>
        </w:rPr>
        <w:t xml:space="preserve">荧光定量免疫层析试纸条 fluorescence quantitative </w:t>
      </w:r>
      <w:r>
        <w:rPr>
          <w:rFonts w:hint="eastAsia"/>
          <w:color w:val="auto"/>
          <w:spacing w:val="16"/>
          <w:sz w:val="20"/>
          <w:szCs w:val="20"/>
          <w:lang w:eastAsia="zh-CN"/>
        </w:rPr>
        <w:t>i</w:t>
      </w:r>
      <w:r>
        <w:rPr>
          <w:color w:val="auto"/>
          <w:spacing w:val="16"/>
          <w:sz w:val="20"/>
          <w:szCs w:val="20"/>
          <w:lang w:eastAsia="zh-CN"/>
        </w:rPr>
        <w:t>mmunochromatographic strip</w:t>
      </w:r>
    </w:p>
    <w:p w14:paraId="2159B1F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以荧光标记抗体为示踪物，在固相膜上通过抗原</w:t>
      </w: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抗体竞争结合反应，利用便携式荧光读数仪实现农药残留现场快速定量检测的方法；通过竞争性免疫反应，荧光信号强度与目标物浓度呈负相关进行定量。</w:t>
      </w:r>
    </w:p>
    <w:p w14:paraId="12458BCE">
      <w:pPr>
        <w:spacing w:before="27" w:line="360" w:lineRule="auto"/>
        <w:ind w:left="6" w:right="61" w:firstLine="420"/>
        <w:rPr>
          <w:rFonts w:hint="eastAsia" w:ascii="宋体" w:hAnsi="宋体" w:eastAsia="宋体" w:cs="宋体"/>
          <w:color w:val="auto"/>
          <w:spacing w:val="8"/>
          <w:sz w:val="20"/>
          <w:szCs w:val="20"/>
          <w:lang w:eastAsia="zh-CN"/>
        </w:rPr>
      </w:pPr>
    </w:p>
    <w:p w14:paraId="57440A70">
      <w:pPr>
        <w:pStyle w:val="6"/>
        <w:spacing w:before="58" w:line="360" w:lineRule="auto"/>
        <w:ind w:left="5"/>
        <w:rPr>
          <w:rFonts w:hint="eastAsia"/>
          <w:color w:val="auto"/>
          <w:sz w:val="20"/>
          <w:szCs w:val="20"/>
          <w:lang w:eastAsia="zh-CN"/>
        </w:rPr>
      </w:pPr>
      <w:r>
        <w:rPr>
          <w:color w:val="auto"/>
          <w:spacing w:val="2"/>
          <w:sz w:val="20"/>
          <w:szCs w:val="20"/>
          <w:lang w:eastAsia="zh-CN"/>
        </w:rPr>
        <w:t>3.2</w:t>
      </w:r>
      <w:r>
        <w:rPr>
          <w:rFonts w:hint="eastAsia"/>
          <w:color w:val="auto"/>
          <w:spacing w:val="18"/>
          <w:sz w:val="20"/>
          <w:szCs w:val="20"/>
          <w:lang w:eastAsia="zh-CN"/>
        </w:rPr>
        <w:t>现场快速检测</w:t>
      </w:r>
      <w:r>
        <w:rPr>
          <w:color w:val="auto"/>
          <w:spacing w:val="18"/>
          <w:sz w:val="20"/>
          <w:szCs w:val="20"/>
          <w:lang w:eastAsia="zh-CN"/>
        </w:rPr>
        <w:t xml:space="preserve"> On-site Rapid Testing</w:t>
      </w:r>
    </w:p>
    <w:p w14:paraId="685145E0">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在非实验室环境（如农贸市场、生产基地、商超等现场或现场快检室），于30min内完成从样品前处理开始至出具定量结果的检测活动。</w:t>
      </w:r>
    </w:p>
    <w:p w14:paraId="10F27E64">
      <w:pPr>
        <w:pStyle w:val="6"/>
        <w:numPr>
          <w:ilvl w:val="0"/>
          <w:numId w:val="1"/>
        </w:numPr>
        <w:spacing w:before="265" w:line="360" w:lineRule="auto"/>
        <w:outlineLvl w:val="0"/>
        <w:rPr>
          <w:rFonts w:hint="eastAsia"/>
          <w:color w:val="auto"/>
          <w:spacing w:val="7"/>
          <w:sz w:val="20"/>
          <w:szCs w:val="20"/>
          <w:lang w:eastAsia="zh-CN"/>
        </w:rPr>
      </w:pPr>
      <w:bookmarkStart w:id="17" w:name="bookmark9"/>
      <w:bookmarkEnd w:id="17"/>
      <w:bookmarkStart w:id="18" w:name="bookmark10"/>
      <w:bookmarkEnd w:id="18"/>
      <w:bookmarkStart w:id="19" w:name="_Toc208994364"/>
      <w:r>
        <w:rPr>
          <w:color w:val="auto"/>
          <w:spacing w:val="7"/>
          <w:sz w:val="20"/>
          <w:szCs w:val="20"/>
        </w:rPr>
        <w:t>基本原则</w:t>
      </w:r>
      <w:bookmarkEnd w:id="19"/>
    </w:p>
    <w:p w14:paraId="41E777E7">
      <w:pPr>
        <w:numPr>
          <w:ilvl w:val="1"/>
          <w:numId w:val="1"/>
        </w:numPr>
        <w:spacing w:before="23" w:line="360" w:lineRule="auto"/>
        <w:ind w:right="58"/>
        <w:rPr>
          <w:rFonts w:hint="eastAsia" w:ascii="宋体" w:hAnsi="宋体" w:eastAsia="宋体" w:cs="宋体"/>
          <w:color w:val="auto"/>
          <w:spacing w:val="9"/>
          <w:sz w:val="21"/>
          <w:szCs w:val="21"/>
          <w:lang w:eastAsia="zh-CN"/>
        </w:rPr>
      </w:pPr>
      <w:bookmarkStart w:id="20" w:name="OLE_LINK81"/>
      <w:r>
        <w:rPr>
          <w:rFonts w:hint="eastAsia" w:ascii="宋体" w:hAnsi="宋体" w:eastAsia="宋体" w:cs="宋体"/>
          <w:color w:val="auto"/>
          <w:spacing w:val="9"/>
          <w:sz w:val="21"/>
          <w:szCs w:val="21"/>
          <w:lang w:eastAsia="zh-CN"/>
        </w:rPr>
        <w:t>合规性：检测结果应满足</w:t>
      </w:r>
      <w:r>
        <w:rPr>
          <w:rFonts w:ascii="宋体" w:hAnsi="宋体" w:eastAsia="宋体" w:cs="宋体"/>
          <w:color w:val="auto"/>
          <w:spacing w:val="9"/>
          <w:sz w:val="21"/>
          <w:szCs w:val="21"/>
          <w:lang w:eastAsia="zh-CN"/>
        </w:rPr>
        <w:t>GB 2763</w:t>
      </w:r>
      <w:r>
        <w:rPr>
          <w:rFonts w:hint="eastAsia" w:ascii="宋体" w:hAnsi="宋体" w:eastAsia="宋体" w:cs="宋体"/>
          <w:color w:val="auto"/>
          <w:spacing w:val="9"/>
          <w:sz w:val="21"/>
          <w:szCs w:val="21"/>
          <w:lang w:eastAsia="zh-CN"/>
        </w:rPr>
        <w:t>及国家相关公告的限量要求，并与限量标准进行比对；</w:t>
      </w:r>
    </w:p>
    <w:p w14:paraId="67EFADE2">
      <w:pPr>
        <w:numPr>
          <w:ilvl w:val="1"/>
          <w:numId w:val="1"/>
        </w:numPr>
        <w:spacing w:before="23" w:line="360" w:lineRule="auto"/>
        <w:ind w:right="58"/>
        <w:rPr>
          <w:rFonts w:hint="eastAsia" w:ascii="宋体" w:hAnsi="宋体" w:eastAsia="宋体" w:cs="宋体"/>
          <w:color w:val="auto"/>
          <w:spacing w:val="9"/>
          <w:sz w:val="21"/>
          <w:szCs w:val="21"/>
          <w:lang w:eastAsia="zh-CN"/>
        </w:rPr>
      </w:pPr>
      <w:r>
        <w:rPr>
          <w:rFonts w:hint="eastAsia" w:ascii="宋体" w:hAnsi="宋体" w:eastAsia="宋体" w:cs="宋体"/>
          <w:color w:val="auto"/>
          <w:spacing w:val="9"/>
          <w:sz w:val="21"/>
          <w:szCs w:val="21"/>
          <w:lang w:eastAsia="zh-CN"/>
        </w:rPr>
        <w:t>可追溯：检测全过程应保证"样品—试剂—设备—人员—结果"可追溯；</w:t>
      </w:r>
    </w:p>
    <w:p w14:paraId="70EEB68D">
      <w:pPr>
        <w:numPr>
          <w:ilvl w:val="1"/>
          <w:numId w:val="1"/>
        </w:numPr>
        <w:spacing w:before="23" w:line="360" w:lineRule="auto"/>
        <w:ind w:right="58"/>
        <w:rPr>
          <w:rFonts w:hint="eastAsia" w:ascii="宋体" w:hAnsi="宋体" w:eastAsia="宋体" w:cs="宋体"/>
          <w:color w:val="auto"/>
          <w:spacing w:val="9"/>
          <w:sz w:val="21"/>
          <w:szCs w:val="21"/>
          <w:lang w:eastAsia="zh-CN"/>
        </w:rPr>
      </w:pPr>
      <w:r>
        <w:rPr>
          <w:rFonts w:hint="eastAsia" w:ascii="宋体" w:hAnsi="宋体" w:eastAsia="宋体" w:cs="宋体"/>
          <w:color w:val="auto"/>
          <w:spacing w:val="9"/>
          <w:sz w:val="21"/>
          <w:szCs w:val="21"/>
          <w:lang w:eastAsia="zh-CN"/>
        </w:rPr>
        <w:t>风险导向：对农业农村部发布的高风险农药名录中的果蔬品种及农药优先实施快检；</w:t>
      </w:r>
    </w:p>
    <w:p w14:paraId="10DE3E4E">
      <w:pPr>
        <w:numPr>
          <w:ilvl w:val="1"/>
          <w:numId w:val="1"/>
        </w:numPr>
        <w:spacing w:before="23" w:line="360" w:lineRule="auto"/>
        <w:ind w:right="58"/>
        <w:rPr>
          <w:rFonts w:hint="eastAsia" w:ascii="宋体" w:hAnsi="宋体" w:eastAsia="宋体" w:cs="宋体"/>
          <w:color w:val="auto"/>
          <w:spacing w:val="9"/>
          <w:sz w:val="21"/>
          <w:szCs w:val="21"/>
          <w:lang w:eastAsia="zh-CN"/>
        </w:rPr>
      </w:pPr>
      <w:r>
        <w:rPr>
          <w:rFonts w:hint="eastAsia" w:ascii="宋体" w:hAnsi="宋体" w:eastAsia="宋体" w:cs="宋体"/>
          <w:color w:val="auto"/>
          <w:spacing w:val="9"/>
          <w:sz w:val="21"/>
          <w:szCs w:val="21"/>
          <w:lang w:eastAsia="zh-CN"/>
        </w:rPr>
        <w:t>持续改进：建立年度回顾机制，根据比对结果动态优化方法参数；</w:t>
      </w:r>
    </w:p>
    <w:p w14:paraId="3908EC36">
      <w:pPr>
        <w:numPr>
          <w:ilvl w:val="1"/>
          <w:numId w:val="1"/>
        </w:numPr>
        <w:spacing w:before="23" w:line="360" w:lineRule="auto"/>
        <w:ind w:right="58"/>
        <w:rPr>
          <w:rFonts w:hint="eastAsia" w:ascii="宋体" w:hAnsi="宋体" w:eastAsia="宋体" w:cs="宋体"/>
          <w:color w:val="auto"/>
          <w:spacing w:val="9"/>
          <w:sz w:val="21"/>
          <w:szCs w:val="21"/>
          <w:lang w:eastAsia="zh-CN"/>
        </w:rPr>
      </w:pPr>
      <w:r>
        <w:rPr>
          <w:rFonts w:hint="eastAsia" w:ascii="宋体" w:hAnsi="宋体" w:eastAsia="宋体" w:cs="宋体"/>
          <w:color w:val="auto"/>
          <w:spacing w:val="9"/>
          <w:sz w:val="21"/>
          <w:szCs w:val="21"/>
          <w:lang w:eastAsia="zh-CN"/>
        </w:rPr>
        <w:t>透明度：公开方法局限性及适用范围，避免结果误读。</w:t>
      </w:r>
    </w:p>
    <w:bookmarkEnd w:id="20"/>
    <w:p w14:paraId="56DCE9A3">
      <w:pPr>
        <w:pStyle w:val="6"/>
        <w:numPr>
          <w:ilvl w:val="0"/>
          <w:numId w:val="1"/>
        </w:numPr>
        <w:spacing w:before="265" w:line="360" w:lineRule="auto"/>
        <w:outlineLvl w:val="0"/>
        <w:rPr>
          <w:rFonts w:hint="eastAsia"/>
          <w:color w:val="auto"/>
          <w:spacing w:val="7"/>
          <w:sz w:val="20"/>
          <w:szCs w:val="20"/>
        </w:rPr>
      </w:pPr>
      <w:bookmarkStart w:id="21" w:name="bookmark18"/>
      <w:bookmarkEnd w:id="21"/>
      <w:bookmarkStart w:id="22" w:name="bookmark17"/>
      <w:bookmarkEnd w:id="22"/>
      <w:bookmarkStart w:id="23" w:name="_Toc208994365"/>
      <w:r>
        <w:rPr>
          <w:rFonts w:hint="eastAsia"/>
          <w:color w:val="auto"/>
          <w:spacing w:val="7"/>
          <w:sz w:val="20"/>
          <w:szCs w:val="20"/>
        </w:rPr>
        <w:t>设备与耗材</w:t>
      </w:r>
      <w:bookmarkEnd w:id="23"/>
    </w:p>
    <w:p w14:paraId="73FBF85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所用试纸条须提供省级以上市场监管或农业农村部门认可的验证报告（含方法验证数据）。</w:t>
      </w:r>
    </w:p>
    <w:p w14:paraId="2473118D">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应配备以下设备与耗材：</w:t>
      </w:r>
    </w:p>
    <w:p w14:paraId="6D751015">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分析天平：感量为 0.01 g。</w:t>
      </w:r>
    </w:p>
    <w:p w14:paraId="3EF6E8DE">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微量移液器：20µL～200 µL、100µL～1000 µL 和 1 mL～10 mL。</w:t>
      </w:r>
    </w:p>
    <w:p w14:paraId="21507494">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旋涡振荡器：转速≥2500 r/min。</w:t>
      </w:r>
    </w:p>
    <w:p w14:paraId="3D98117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离心机：转速≥4000 r/min。</w:t>
      </w:r>
    </w:p>
    <w:p w14:paraId="0DE2CA2A">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均质机：转速≥5000 r/min。</w:t>
      </w:r>
    </w:p>
    <w:p w14:paraId="50726F1E">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离心管：1.5 mL 和 50 mL。</w:t>
      </w:r>
    </w:p>
    <w:p w14:paraId="511DC523">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荧光免疫层析包装盒：应含标准曲线内置卡。</w:t>
      </w:r>
    </w:p>
    <w:p w14:paraId="7E20B77D">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荧光免疫分析仪：应提供定量数据，其光学系统（如激发光波长与发射光滤光片）应与所使用试纸条的荧光标记材料相匹配。</w:t>
      </w:r>
    </w:p>
    <w:p w14:paraId="482C2634">
      <w:pPr>
        <w:pStyle w:val="6"/>
        <w:numPr>
          <w:ilvl w:val="0"/>
          <w:numId w:val="1"/>
        </w:numPr>
        <w:spacing w:before="265" w:line="360" w:lineRule="auto"/>
        <w:outlineLvl w:val="0"/>
        <w:rPr>
          <w:rFonts w:hint="eastAsia"/>
          <w:color w:val="auto"/>
          <w:spacing w:val="7"/>
          <w:sz w:val="20"/>
          <w:szCs w:val="20"/>
        </w:rPr>
      </w:pPr>
      <w:bookmarkStart w:id="24" w:name="_Toc208994366"/>
      <w:r>
        <w:rPr>
          <w:color w:val="auto"/>
          <w:spacing w:val="7"/>
          <w:sz w:val="20"/>
          <w:szCs w:val="20"/>
        </w:rPr>
        <w:t>技术通用要求</w:t>
      </w:r>
      <w:bookmarkEnd w:id="24"/>
    </w:p>
    <w:p w14:paraId="60C27307">
      <w:pPr>
        <w:pStyle w:val="6"/>
        <w:numPr>
          <w:ilvl w:val="1"/>
          <w:numId w:val="1"/>
        </w:numPr>
        <w:spacing w:before="265" w:line="360" w:lineRule="auto"/>
        <w:outlineLvl w:val="0"/>
        <w:rPr>
          <w:rFonts w:hint="eastAsia"/>
          <w:color w:val="auto"/>
          <w:spacing w:val="7"/>
          <w:sz w:val="20"/>
          <w:szCs w:val="20"/>
        </w:rPr>
      </w:pPr>
      <w:bookmarkStart w:id="25" w:name="_Toc208994367"/>
      <w:r>
        <w:rPr>
          <w:rFonts w:hint="eastAsia"/>
          <w:color w:val="auto"/>
          <w:spacing w:val="7"/>
          <w:sz w:val="20"/>
          <w:szCs w:val="20"/>
        </w:rPr>
        <w:t>检测对象与范围</w:t>
      </w:r>
      <w:bookmarkEnd w:id="25"/>
    </w:p>
    <w:p w14:paraId="1EC3C11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以</w:t>
      </w:r>
      <w:r>
        <w:rPr>
          <w:rFonts w:ascii="宋体" w:hAnsi="宋体" w:eastAsia="宋体" w:cs="宋体"/>
          <w:color w:val="auto"/>
          <w:spacing w:val="8"/>
          <w:sz w:val="21"/>
          <w:szCs w:val="21"/>
          <w:lang w:eastAsia="zh-CN"/>
        </w:rPr>
        <w:t>GB 2763</w:t>
      </w:r>
      <w:r>
        <w:rPr>
          <w:rFonts w:hint="eastAsia" w:ascii="宋体" w:hAnsi="宋体" w:eastAsia="宋体" w:cs="宋体"/>
          <w:color w:val="auto"/>
          <w:spacing w:val="8"/>
          <w:sz w:val="21"/>
          <w:szCs w:val="21"/>
          <w:lang w:eastAsia="zh-CN"/>
        </w:rPr>
        <w:t>附录</w:t>
      </w:r>
      <w:r>
        <w:rPr>
          <w:rFonts w:ascii="宋体" w:hAnsi="宋体" w:eastAsia="宋体" w:cs="宋体"/>
          <w:color w:val="auto"/>
          <w:spacing w:val="8"/>
          <w:sz w:val="21"/>
          <w:szCs w:val="21"/>
          <w:lang w:eastAsia="zh-CN"/>
        </w:rPr>
        <w:t>A</w:t>
      </w:r>
      <w:r>
        <w:rPr>
          <w:rFonts w:hint="eastAsia" w:ascii="宋体" w:hAnsi="宋体" w:eastAsia="宋体" w:cs="宋体"/>
          <w:color w:val="auto"/>
          <w:spacing w:val="8"/>
          <w:sz w:val="21"/>
          <w:szCs w:val="21"/>
          <w:lang w:eastAsia="zh-CN"/>
        </w:rPr>
        <w:t>所列果蔬类农药（包括有机磷、有机氯、拟除虫菊酯类等）为对象；每种农药的检出限应不大于其在目标果蔬中最大残留限量（</w:t>
      </w:r>
      <w:r>
        <w:rPr>
          <w:rFonts w:ascii="宋体" w:hAnsi="宋体" w:eastAsia="宋体" w:cs="宋体"/>
          <w:color w:val="auto"/>
          <w:spacing w:val="8"/>
          <w:sz w:val="21"/>
          <w:szCs w:val="21"/>
          <w:lang w:eastAsia="zh-CN"/>
        </w:rPr>
        <w:t>MRL</w:t>
      </w:r>
      <w:r>
        <w:rPr>
          <w:rFonts w:hint="eastAsia" w:ascii="宋体" w:hAnsi="宋体" w:eastAsia="宋体" w:cs="宋体"/>
          <w:color w:val="auto"/>
          <w:spacing w:val="8"/>
          <w:sz w:val="21"/>
          <w:szCs w:val="21"/>
          <w:lang w:eastAsia="zh-CN"/>
        </w:rPr>
        <w:t>）的1/5。</w:t>
      </w:r>
    </w:p>
    <w:p w14:paraId="42994B39">
      <w:pPr>
        <w:pStyle w:val="6"/>
        <w:numPr>
          <w:ilvl w:val="1"/>
          <w:numId w:val="1"/>
        </w:numPr>
        <w:spacing w:before="265" w:line="360" w:lineRule="auto"/>
        <w:outlineLvl w:val="0"/>
        <w:rPr>
          <w:rFonts w:hint="eastAsia"/>
          <w:color w:val="auto"/>
          <w:spacing w:val="7"/>
          <w:sz w:val="20"/>
          <w:szCs w:val="20"/>
        </w:rPr>
      </w:pPr>
      <w:bookmarkStart w:id="26" w:name="_Toc208994368"/>
      <w:r>
        <w:rPr>
          <w:rFonts w:hint="eastAsia"/>
          <w:color w:val="auto"/>
          <w:spacing w:val="7"/>
          <w:sz w:val="20"/>
          <w:szCs w:val="20"/>
        </w:rPr>
        <w:t>方法性能底线</w:t>
      </w:r>
      <w:bookmarkEnd w:id="26"/>
    </w:p>
    <w:p w14:paraId="0DE793E4">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检出限（</w:t>
      </w:r>
      <w:r>
        <w:rPr>
          <w:rFonts w:ascii="宋体" w:hAnsi="宋体" w:eastAsia="宋体" w:cs="宋体"/>
          <w:color w:val="auto"/>
          <w:spacing w:val="8"/>
          <w:sz w:val="21"/>
          <w:szCs w:val="21"/>
          <w:lang w:eastAsia="zh-CN"/>
        </w:rPr>
        <w:t>LOD</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对应农药在目标果蔬中</w:t>
      </w:r>
      <w:r>
        <w:rPr>
          <w:rFonts w:ascii="宋体" w:hAnsi="宋体" w:eastAsia="宋体" w:cs="宋体"/>
          <w:color w:val="auto"/>
          <w:spacing w:val="8"/>
          <w:sz w:val="21"/>
          <w:szCs w:val="21"/>
          <w:lang w:eastAsia="zh-CN"/>
        </w:rPr>
        <w:t>MRL</w:t>
      </w:r>
      <w:r>
        <w:rPr>
          <w:rFonts w:hint="eastAsia" w:ascii="宋体" w:hAnsi="宋体" w:eastAsia="宋体" w:cs="宋体"/>
          <w:color w:val="auto"/>
          <w:spacing w:val="8"/>
          <w:sz w:val="21"/>
          <w:szCs w:val="21"/>
          <w:lang w:eastAsia="zh-CN"/>
        </w:rPr>
        <w:t>的1/5；</w:t>
      </w:r>
    </w:p>
    <w:p w14:paraId="08213E90">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定量限（</w:t>
      </w:r>
      <w:r>
        <w:rPr>
          <w:rFonts w:ascii="宋体" w:hAnsi="宋体" w:eastAsia="宋体" w:cs="宋体"/>
          <w:color w:val="auto"/>
          <w:spacing w:val="8"/>
          <w:sz w:val="21"/>
          <w:szCs w:val="21"/>
          <w:lang w:eastAsia="zh-CN"/>
        </w:rPr>
        <w:t>LOQ</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对应农药在目标果蔬中</w:t>
      </w:r>
      <w:r>
        <w:rPr>
          <w:rFonts w:ascii="宋体" w:hAnsi="宋体" w:eastAsia="宋体" w:cs="宋体"/>
          <w:color w:val="auto"/>
          <w:spacing w:val="8"/>
          <w:sz w:val="21"/>
          <w:szCs w:val="21"/>
          <w:lang w:eastAsia="zh-CN"/>
        </w:rPr>
        <w:t>MRL</w:t>
      </w:r>
      <w:r>
        <w:rPr>
          <w:rFonts w:hint="eastAsia" w:ascii="宋体" w:hAnsi="宋体" w:eastAsia="宋体" w:cs="宋体"/>
          <w:color w:val="auto"/>
          <w:spacing w:val="8"/>
          <w:sz w:val="21"/>
          <w:szCs w:val="21"/>
          <w:lang w:eastAsia="zh-CN"/>
        </w:rPr>
        <w:t>；</w:t>
      </w:r>
    </w:p>
    <w:p w14:paraId="7E69DEA5">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回收率</w:t>
      </w:r>
      <w:r>
        <w:rPr>
          <w:rFonts w:ascii="宋体" w:hAnsi="宋体" w:eastAsia="宋体" w:cs="宋体"/>
          <w:color w:val="auto"/>
          <w:spacing w:val="8"/>
          <w:sz w:val="21"/>
          <w:szCs w:val="21"/>
          <w:lang w:eastAsia="zh-CN"/>
        </w:rPr>
        <w:t>85%–110%</w:t>
      </w:r>
      <w:r>
        <w:rPr>
          <w:rFonts w:hint="eastAsia" w:ascii="宋体" w:hAnsi="宋体" w:eastAsia="宋体" w:cs="宋体"/>
          <w:color w:val="auto"/>
          <w:spacing w:val="8"/>
          <w:sz w:val="21"/>
          <w:szCs w:val="21"/>
          <w:lang w:eastAsia="zh-CN"/>
        </w:rPr>
        <w:t>；</w:t>
      </w:r>
    </w:p>
    <w:p w14:paraId="3E8F52F5">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——批内 RSD ≤ 20 %；批间 RSD ≤ 15 %</w:t>
      </w:r>
      <w:r>
        <w:rPr>
          <w:rFonts w:hint="eastAsia" w:ascii="宋体" w:hAnsi="宋体" w:eastAsia="宋体" w:cs="宋体"/>
          <w:color w:val="auto"/>
          <w:spacing w:val="8"/>
          <w:sz w:val="21"/>
          <w:szCs w:val="21"/>
          <w:lang w:eastAsia="zh-CN"/>
        </w:rPr>
        <w:t>；</w:t>
      </w:r>
    </w:p>
    <w:p w14:paraId="1B6E53F4">
      <w:pPr>
        <w:spacing w:before="27" w:line="360" w:lineRule="auto"/>
        <w:ind w:left="6" w:right="61" w:firstLine="42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——假阳性率 ≤ 5 %；假阴性率 ≤ 5 %</w:t>
      </w:r>
      <w:r>
        <w:rPr>
          <w:rFonts w:hint="eastAsia" w:ascii="宋体" w:hAnsi="宋体" w:eastAsia="宋体" w:cs="宋体"/>
          <w:color w:val="auto"/>
          <w:spacing w:val="8"/>
          <w:sz w:val="21"/>
          <w:szCs w:val="21"/>
          <w:lang w:eastAsia="zh-CN"/>
        </w:rPr>
        <w:t>。</w:t>
      </w:r>
    </w:p>
    <w:p w14:paraId="72976E09">
      <w:pPr>
        <w:pStyle w:val="6"/>
        <w:numPr>
          <w:ilvl w:val="1"/>
          <w:numId w:val="1"/>
        </w:numPr>
        <w:spacing w:before="265" w:line="360" w:lineRule="auto"/>
        <w:outlineLvl w:val="0"/>
        <w:rPr>
          <w:rFonts w:hint="eastAsia"/>
          <w:color w:val="auto"/>
          <w:spacing w:val="7"/>
          <w:sz w:val="20"/>
          <w:szCs w:val="20"/>
        </w:rPr>
      </w:pPr>
      <w:bookmarkStart w:id="27" w:name="_Toc208994369"/>
      <w:r>
        <w:rPr>
          <w:rFonts w:hint="eastAsia"/>
          <w:color w:val="auto"/>
          <w:spacing w:val="7"/>
          <w:sz w:val="20"/>
          <w:szCs w:val="20"/>
        </w:rPr>
        <w:t>标准曲线</w:t>
      </w:r>
      <w:bookmarkEnd w:id="27"/>
    </w:p>
    <w:p w14:paraId="36654A8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至少</w:t>
      </w:r>
      <w:r>
        <w:rPr>
          <w:rFonts w:ascii="宋体" w:hAnsi="宋体" w:eastAsia="宋体" w:cs="宋体"/>
          <w:color w:val="auto"/>
          <w:spacing w:val="8"/>
          <w:sz w:val="21"/>
          <w:szCs w:val="21"/>
          <w:lang w:eastAsia="zh-CN"/>
        </w:rPr>
        <w:t>5</w:t>
      </w:r>
      <w:r>
        <w:rPr>
          <w:rFonts w:hint="eastAsia" w:ascii="宋体" w:hAnsi="宋体" w:eastAsia="宋体" w:cs="宋体"/>
          <w:color w:val="auto"/>
          <w:spacing w:val="8"/>
          <w:sz w:val="21"/>
          <w:szCs w:val="21"/>
          <w:lang w:eastAsia="zh-CN"/>
        </w:rPr>
        <w:t>个浓度点，覆盖</w:t>
      </w:r>
      <w:r>
        <w:rPr>
          <w:rFonts w:ascii="宋体" w:hAnsi="宋体" w:eastAsia="宋体" w:cs="宋体"/>
          <w:color w:val="auto"/>
          <w:spacing w:val="8"/>
          <w:sz w:val="21"/>
          <w:szCs w:val="21"/>
          <w:lang w:eastAsia="zh-CN"/>
        </w:rPr>
        <w:t>LOQ–10×LOQ</w:t>
      </w:r>
      <w:r>
        <w:rPr>
          <w:rFonts w:hint="eastAsia" w:ascii="宋体" w:hAnsi="宋体" w:eastAsia="宋体" w:cs="宋体"/>
          <w:color w:val="auto"/>
          <w:spacing w:val="8"/>
          <w:sz w:val="21"/>
          <w:szCs w:val="21"/>
          <w:lang w:eastAsia="zh-CN"/>
        </w:rPr>
        <w:t>，相关系数</w:t>
      </w:r>
      <w:r>
        <w:rPr>
          <w:rFonts w:ascii="宋体" w:hAnsi="宋体" w:eastAsia="宋体" w:cs="宋体"/>
          <w:color w:val="auto"/>
          <w:spacing w:val="8"/>
          <w:sz w:val="21"/>
          <w:szCs w:val="21"/>
          <w:lang w:eastAsia="zh-CN"/>
        </w:rPr>
        <w:t>R²≥0.99</w:t>
      </w:r>
      <w:r>
        <w:rPr>
          <w:rFonts w:hint="eastAsia" w:ascii="宋体" w:hAnsi="宋体" w:eastAsia="宋体" w:cs="宋体"/>
          <w:color w:val="auto"/>
          <w:spacing w:val="8"/>
          <w:sz w:val="21"/>
          <w:szCs w:val="21"/>
          <w:lang w:eastAsia="zh-CN"/>
        </w:rPr>
        <w:t>。</w:t>
      </w:r>
    </w:p>
    <w:p w14:paraId="66E8EF3D">
      <w:pPr>
        <w:pStyle w:val="6"/>
        <w:numPr>
          <w:ilvl w:val="1"/>
          <w:numId w:val="1"/>
        </w:numPr>
        <w:spacing w:before="265" w:line="360" w:lineRule="auto"/>
        <w:outlineLvl w:val="0"/>
        <w:rPr>
          <w:rFonts w:hint="eastAsia"/>
          <w:color w:val="auto"/>
          <w:spacing w:val="7"/>
          <w:sz w:val="20"/>
          <w:szCs w:val="20"/>
        </w:rPr>
      </w:pPr>
      <w:bookmarkStart w:id="28" w:name="_Toc208994370"/>
      <w:r>
        <w:rPr>
          <w:rFonts w:hint="eastAsia"/>
          <w:color w:val="auto"/>
          <w:spacing w:val="7"/>
          <w:sz w:val="20"/>
          <w:szCs w:val="20"/>
        </w:rPr>
        <w:t>有效期与稳定性</w:t>
      </w:r>
      <w:bookmarkEnd w:id="28"/>
    </w:p>
    <w:p w14:paraId="112EDAF8">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试纸条在</w:t>
      </w:r>
      <w:r>
        <w:rPr>
          <w:rFonts w:ascii="宋体" w:hAnsi="宋体" w:eastAsia="宋体" w:cs="宋体"/>
          <w:color w:val="auto"/>
          <w:spacing w:val="8"/>
          <w:sz w:val="21"/>
          <w:szCs w:val="21"/>
          <w:lang w:eastAsia="zh-CN"/>
        </w:rPr>
        <w:t xml:space="preserve"> 4 – 30 </w:t>
      </w:r>
      <w:r>
        <w:rPr>
          <w:rFonts w:hint="eastAsia" w:ascii="宋体" w:hAnsi="宋体" w:eastAsia="宋体" w:cs="宋体"/>
          <w:color w:val="auto"/>
          <w:spacing w:val="8"/>
          <w:sz w:val="21"/>
          <w:szCs w:val="21"/>
          <w:lang w:eastAsia="zh-CN"/>
        </w:rPr>
        <w:t>℃、相对湿度≤</w:t>
      </w:r>
      <w:r>
        <w:rPr>
          <w:rFonts w:ascii="宋体" w:hAnsi="宋体" w:eastAsia="宋体" w:cs="宋体"/>
          <w:color w:val="auto"/>
          <w:spacing w:val="8"/>
          <w:sz w:val="21"/>
          <w:szCs w:val="21"/>
          <w:lang w:eastAsia="zh-CN"/>
        </w:rPr>
        <w:t xml:space="preserve"> 60 % </w:t>
      </w:r>
      <w:r>
        <w:rPr>
          <w:rFonts w:hint="eastAsia" w:ascii="宋体" w:hAnsi="宋体" w:eastAsia="宋体" w:cs="宋体"/>
          <w:color w:val="auto"/>
          <w:spacing w:val="8"/>
          <w:sz w:val="21"/>
          <w:szCs w:val="21"/>
          <w:lang w:eastAsia="zh-CN"/>
        </w:rPr>
        <w:t>条件下避光保存，有效期自生产之日起≥</w:t>
      </w:r>
      <w:r>
        <w:rPr>
          <w:rFonts w:ascii="宋体" w:hAnsi="宋体" w:eastAsia="宋体" w:cs="宋体"/>
          <w:color w:val="auto"/>
          <w:spacing w:val="8"/>
          <w:sz w:val="21"/>
          <w:szCs w:val="21"/>
          <w:lang w:eastAsia="zh-CN"/>
        </w:rPr>
        <w:t xml:space="preserve"> 12 </w:t>
      </w:r>
      <w:r>
        <w:rPr>
          <w:rFonts w:hint="eastAsia" w:ascii="宋体" w:hAnsi="宋体" w:eastAsia="宋体" w:cs="宋体"/>
          <w:color w:val="auto"/>
          <w:spacing w:val="8"/>
          <w:sz w:val="21"/>
          <w:szCs w:val="21"/>
          <w:lang w:eastAsia="zh-CN"/>
        </w:rPr>
        <w:t>个月。</w:t>
      </w:r>
    </w:p>
    <w:p w14:paraId="013A9224">
      <w:pPr>
        <w:pStyle w:val="6"/>
        <w:numPr>
          <w:ilvl w:val="1"/>
          <w:numId w:val="1"/>
        </w:numPr>
        <w:spacing w:before="265" w:line="360" w:lineRule="auto"/>
        <w:outlineLvl w:val="0"/>
        <w:rPr>
          <w:color w:val="auto"/>
          <w:spacing w:val="7"/>
          <w:sz w:val="20"/>
          <w:szCs w:val="20"/>
        </w:rPr>
      </w:pPr>
      <w:r>
        <w:rPr>
          <w:rFonts w:hint="eastAsia"/>
          <w:color w:val="auto"/>
          <w:spacing w:val="7"/>
          <w:sz w:val="20"/>
          <w:szCs w:val="20"/>
        </w:rPr>
        <w:t>质量控制</w:t>
      </w:r>
    </w:p>
    <w:p w14:paraId="3F051EBC">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每批试纸条必须随行</w:t>
      </w:r>
      <w:r>
        <w:rPr>
          <w:rFonts w:ascii="宋体" w:hAnsi="宋体" w:eastAsia="宋体" w:cs="宋体"/>
          <w:color w:val="auto"/>
          <w:spacing w:val="8"/>
          <w:sz w:val="21"/>
          <w:szCs w:val="21"/>
          <w:lang w:eastAsia="zh-CN"/>
        </w:rPr>
        <w:t xml:space="preserve"> 1 </w:t>
      </w:r>
      <w:r>
        <w:rPr>
          <w:rFonts w:hint="eastAsia" w:ascii="宋体" w:hAnsi="宋体" w:eastAsia="宋体" w:cs="宋体"/>
          <w:color w:val="auto"/>
          <w:spacing w:val="8"/>
          <w:sz w:val="21"/>
          <w:szCs w:val="21"/>
          <w:lang w:eastAsia="zh-CN"/>
        </w:rPr>
        <w:t>条阴性质控（</w:t>
      </w:r>
      <w:r>
        <w:rPr>
          <w:rFonts w:ascii="宋体" w:hAnsi="宋体" w:eastAsia="宋体" w:cs="宋体"/>
          <w:color w:val="auto"/>
          <w:spacing w:val="8"/>
          <w:sz w:val="21"/>
          <w:szCs w:val="21"/>
          <w:lang w:eastAsia="zh-CN"/>
        </w:rPr>
        <w:t>0 µg/kg</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1 </w:t>
      </w:r>
      <w:r>
        <w:rPr>
          <w:rFonts w:hint="eastAsia" w:ascii="宋体" w:hAnsi="宋体" w:eastAsia="宋体" w:cs="宋体"/>
          <w:color w:val="auto"/>
          <w:spacing w:val="8"/>
          <w:sz w:val="21"/>
          <w:szCs w:val="21"/>
          <w:lang w:eastAsia="zh-CN"/>
        </w:rPr>
        <w:t>条低浓度加标（</w:t>
      </w:r>
      <w:r>
        <w:rPr>
          <w:rFonts w:ascii="宋体" w:hAnsi="宋体" w:eastAsia="宋体" w:cs="宋体"/>
          <w:color w:val="auto"/>
          <w:spacing w:val="8"/>
          <w:sz w:val="21"/>
          <w:szCs w:val="21"/>
          <w:lang w:eastAsia="zh-CN"/>
        </w:rPr>
        <w:t>1 × LOQ</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1 </w:t>
      </w:r>
      <w:r>
        <w:rPr>
          <w:rFonts w:hint="eastAsia" w:ascii="宋体" w:hAnsi="宋体" w:eastAsia="宋体" w:cs="宋体"/>
          <w:color w:val="auto"/>
          <w:spacing w:val="8"/>
          <w:sz w:val="21"/>
          <w:szCs w:val="21"/>
          <w:lang w:eastAsia="zh-CN"/>
        </w:rPr>
        <w:t>条中浓度（</w:t>
      </w:r>
      <w:r>
        <w:rPr>
          <w:rFonts w:ascii="宋体" w:hAnsi="宋体" w:eastAsia="宋体" w:cs="宋体"/>
          <w:color w:val="auto"/>
          <w:spacing w:val="8"/>
          <w:sz w:val="21"/>
          <w:szCs w:val="21"/>
          <w:lang w:eastAsia="zh-CN"/>
        </w:rPr>
        <w:t>5 × LOQ</w:t>
      </w:r>
      <w:r>
        <w:rPr>
          <w:rFonts w:hint="eastAsia" w:ascii="宋体" w:hAnsi="宋体" w:eastAsia="宋体" w:cs="宋体"/>
          <w:color w:val="auto"/>
          <w:spacing w:val="8"/>
          <w:sz w:val="21"/>
          <w:szCs w:val="21"/>
          <w:lang w:eastAsia="zh-CN"/>
        </w:rPr>
        <w:t>）。</w:t>
      </w:r>
    </w:p>
    <w:p w14:paraId="4278D9DB">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质控值偏离标称值＞±</w:t>
      </w:r>
      <w:r>
        <w:rPr>
          <w:rFonts w:ascii="宋体" w:hAnsi="宋体" w:eastAsia="宋体" w:cs="宋体"/>
          <w:color w:val="auto"/>
          <w:spacing w:val="8"/>
          <w:sz w:val="21"/>
          <w:szCs w:val="21"/>
          <w:lang w:eastAsia="zh-CN"/>
        </w:rPr>
        <w:t>20 %</w:t>
      </w:r>
      <w:r>
        <w:rPr>
          <w:rFonts w:hint="eastAsia" w:ascii="宋体" w:hAnsi="宋体" w:eastAsia="宋体" w:cs="宋体"/>
          <w:color w:val="auto"/>
          <w:spacing w:val="8"/>
          <w:sz w:val="21"/>
          <w:szCs w:val="21"/>
          <w:lang w:eastAsia="zh-CN"/>
        </w:rPr>
        <w:t>，则该批结果无效，需重做。</w:t>
      </w:r>
    </w:p>
    <w:p w14:paraId="314A7768">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每月至少一次与实验室法（</w:t>
      </w:r>
      <w:r>
        <w:rPr>
          <w:rFonts w:ascii="宋体" w:hAnsi="宋体" w:eastAsia="宋体" w:cs="宋体"/>
          <w:color w:val="auto"/>
          <w:spacing w:val="8"/>
          <w:sz w:val="21"/>
          <w:szCs w:val="21"/>
          <w:lang w:eastAsia="zh-CN"/>
        </w:rPr>
        <w:t xml:space="preserve">GC-MS/MS </w:t>
      </w:r>
      <w:r>
        <w:rPr>
          <w:rFonts w:hint="eastAsia" w:ascii="宋体" w:hAnsi="宋体" w:eastAsia="宋体" w:cs="宋体"/>
          <w:color w:val="auto"/>
          <w:spacing w:val="8"/>
          <w:sz w:val="21"/>
          <w:szCs w:val="21"/>
          <w:lang w:eastAsia="zh-CN"/>
        </w:rPr>
        <w:t>或</w:t>
      </w:r>
      <w:r>
        <w:rPr>
          <w:rFonts w:ascii="宋体" w:hAnsi="宋体" w:eastAsia="宋体" w:cs="宋体"/>
          <w:color w:val="auto"/>
          <w:spacing w:val="8"/>
          <w:sz w:val="21"/>
          <w:szCs w:val="21"/>
          <w:lang w:eastAsia="zh-CN"/>
        </w:rPr>
        <w:t xml:space="preserve"> LC-MS/MS</w:t>
      </w:r>
      <w:r>
        <w:rPr>
          <w:rFonts w:hint="eastAsia" w:ascii="宋体" w:hAnsi="宋体" w:eastAsia="宋体" w:cs="宋体"/>
          <w:color w:val="auto"/>
          <w:spacing w:val="8"/>
          <w:sz w:val="21"/>
          <w:szCs w:val="21"/>
          <w:lang w:eastAsia="zh-CN"/>
        </w:rPr>
        <w:t>）比对，相对偏差≤</w:t>
      </w:r>
      <w:r>
        <w:rPr>
          <w:rFonts w:ascii="宋体" w:hAnsi="宋体" w:eastAsia="宋体" w:cs="宋体"/>
          <w:color w:val="auto"/>
          <w:spacing w:val="8"/>
          <w:sz w:val="21"/>
          <w:szCs w:val="21"/>
          <w:lang w:eastAsia="zh-CN"/>
        </w:rPr>
        <w:t>|±25 %|</w:t>
      </w:r>
      <w:r>
        <w:rPr>
          <w:rFonts w:hint="eastAsia" w:ascii="宋体" w:hAnsi="宋体" w:eastAsia="宋体" w:cs="宋体"/>
          <w:color w:val="auto"/>
          <w:spacing w:val="8"/>
          <w:sz w:val="21"/>
          <w:szCs w:val="21"/>
          <w:lang w:eastAsia="zh-CN"/>
        </w:rPr>
        <w:t>，否则停用法条并启动偏差调查。</w:t>
      </w:r>
    </w:p>
    <w:p w14:paraId="10D3AA40">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建立“质控图”（</w:t>
      </w:r>
      <w:r>
        <w:rPr>
          <w:rFonts w:ascii="宋体" w:hAnsi="宋体" w:eastAsia="宋体" w:cs="宋体"/>
          <w:color w:val="auto"/>
          <w:spacing w:val="8"/>
          <w:sz w:val="21"/>
          <w:szCs w:val="21"/>
          <w:lang w:eastAsia="zh-CN"/>
        </w:rPr>
        <w:t xml:space="preserve">Shewhart </w:t>
      </w:r>
      <w:r>
        <w:rPr>
          <w:rFonts w:hint="eastAsia" w:ascii="宋体" w:hAnsi="宋体" w:eastAsia="宋体" w:cs="宋体"/>
          <w:color w:val="auto"/>
          <w:spacing w:val="8"/>
          <w:sz w:val="21"/>
          <w:szCs w:val="21"/>
          <w:lang w:eastAsia="zh-CN"/>
        </w:rPr>
        <w:t>图），累积</w:t>
      </w:r>
      <w:r>
        <w:rPr>
          <w:rFonts w:ascii="宋体" w:hAnsi="宋体" w:eastAsia="宋体" w:cs="宋体"/>
          <w:color w:val="auto"/>
          <w:spacing w:val="8"/>
          <w:sz w:val="21"/>
          <w:szCs w:val="21"/>
          <w:lang w:eastAsia="zh-CN"/>
        </w:rPr>
        <w:t xml:space="preserve"> 20 </w:t>
      </w:r>
      <w:r>
        <w:rPr>
          <w:rFonts w:hint="eastAsia" w:ascii="宋体" w:hAnsi="宋体" w:eastAsia="宋体" w:cs="宋体"/>
          <w:color w:val="auto"/>
          <w:spacing w:val="8"/>
          <w:sz w:val="21"/>
          <w:szCs w:val="21"/>
          <w:lang w:eastAsia="zh-CN"/>
        </w:rPr>
        <w:t>批后计算警告限（±</w:t>
      </w:r>
      <w:r>
        <w:rPr>
          <w:rFonts w:ascii="宋体" w:hAnsi="宋体" w:eastAsia="宋体" w:cs="宋体"/>
          <w:color w:val="auto"/>
          <w:spacing w:val="8"/>
          <w:sz w:val="21"/>
          <w:szCs w:val="21"/>
          <w:lang w:eastAsia="zh-CN"/>
        </w:rPr>
        <w:t>2 s</w:t>
      </w:r>
      <w:r>
        <w:rPr>
          <w:rFonts w:hint="eastAsia" w:ascii="宋体" w:hAnsi="宋体" w:eastAsia="宋体" w:cs="宋体"/>
          <w:color w:val="auto"/>
          <w:spacing w:val="8"/>
          <w:sz w:val="21"/>
          <w:szCs w:val="21"/>
          <w:lang w:eastAsia="zh-CN"/>
        </w:rPr>
        <w:t>）和行动限（±</w:t>
      </w:r>
      <w:r>
        <w:rPr>
          <w:rFonts w:ascii="宋体" w:hAnsi="宋体" w:eastAsia="宋体" w:cs="宋体"/>
          <w:color w:val="auto"/>
          <w:spacing w:val="8"/>
          <w:sz w:val="21"/>
          <w:szCs w:val="21"/>
          <w:lang w:eastAsia="zh-CN"/>
        </w:rPr>
        <w:t>3 s</w:t>
      </w:r>
      <w:r>
        <w:rPr>
          <w:rFonts w:hint="eastAsia" w:ascii="宋体" w:hAnsi="宋体" w:eastAsia="宋体" w:cs="宋体"/>
          <w:color w:val="auto"/>
          <w:spacing w:val="8"/>
          <w:sz w:val="21"/>
          <w:szCs w:val="21"/>
          <w:lang w:eastAsia="zh-CN"/>
        </w:rPr>
        <w:t>）。</w:t>
      </w:r>
    </w:p>
    <w:p w14:paraId="23370815">
      <w:pPr>
        <w:pStyle w:val="6"/>
        <w:numPr>
          <w:ilvl w:val="1"/>
          <w:numId w:val="1"/>
        </w:numPr>
        <w:spacing w:before="265" w:line="360" w:lineRule="auto"/>
        <w:outlineLvl w:val="0"/>
        <w:rPr>
          <w:color w:val="auto"/>
          <w:spacing w:val="7"/>
          <w:sz w:val="20"/>
          <w:szCs w:val="20"/>
        </w:rPr>
      </w:pPr>
      <w:r>
        <w:rPr>
          <w:rFonts w:hint="eastAsia"/>
          <w:color w:val="auto"/>
          <w:spacing w:val="7"/>
          <w:sz w:val="20"/>
          <w:szCs w:val="20"/>
        </w:rPr>
        <w:t>测量不确定度</w:t>
      </w:r>
    </w:p>
    <w:p w14:paraId="113DD543">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按</w:t>
      </w:r>
      <w:r>
        <w:rPr>
          <w:rFonts w:ascii="宋体" w:hAnsi="宋体" w:eastAsia="宋体" w:cs="宋体"/>
          <w:color w:val="auto"/>
          <w:spacing w:val="8"/>
          <w:sz w:val="21"/>
          <w:szCs w:val="21"/>
          <w:lang w:eastAsia="zh-CN"/>
        </w:rPr>
        <w:t xml:space="preserve"> EURACHEM </w:t>
      </w:r>
      <w:r>
        <w:rPr>
          <w:rFonts w:hint="eastAsia" w:ascii="宋体" w:hAnsi="宋体" w:eastAsia="宋体" w:cs="宋体"/>
          <w:color w:val="auto"/>
          <w:spacing w:val="8"/>
          <w:sz w:val="21"/>
          <w:szCs w:val="21"/>
          <w:lang w:eastAsia="zh-CN"/>
        </w:rPr>
        <w:t>简化方法，以</w:t>
      </w:r>
      <w:r>
        <w:rPr>
          <w:rFonts w:ascii="宋体" w:hAnsi="宋体" w:eastAsia="宋体" w:cs="宋体"/>
          <w:color w:val="auto"/>
          <w:spacing w:val="8"/>
          <w:sz w:val="21"/>
          <w:szCs w:val="21"/>
          <w:lang w:eastAsia="zh-CN"/>
        </w:rPr>
        <w:t xml:space="preserve"> 10 </w:t>
      </w:r>
      <w:r>
        <w:rPr>
          <w:rFonts w:hint="eastAsia" w:ascii="宋体" w:hAnsi="宋体" w:eastAsia="宋体" w:cs="宋体"/>
          <w:color w:val="auto"/>
          <w:spacing w:val="8"/>
          <w:sz w:val="21"/>
          <w:szCs w:val="21"/>
          <w:lang w:eastAsia="zh-CN"/>
        </w:rPr>
        <w:t>次独立加标（</w:t>
      </w:r>
      <w:r>
        <w:rPr>
          <w:rFonts w:ascii="宋体" w:hAnsi="宋体" w:eastAsia="宋体" w:cs="宋体"/>
          <w:color w:val="auto"/>
          <w:spacing w:val="8"/>
          <w:sz w:val="21"/>
          <w:szCs w:val="21"/>
          <w:lang w:eastAsia="zh-CN"/>
        </w:rPr>
        <w:t>1 × MRL</w:t>
      </w:r>
      <w:r>
        <w:rPr>
          <w:rFonts w:hint="eastAsia" w:ascii="宋体" w:hAnsi="宋体" w:eastAsia="宋体" w:cs="宋体"/>
          <w:color w:val="auto"/>
          <w:spacing w:val="8"/>
          <w:sz w:val="21"/>
          <w:szCs w:val="21"/>
          <w:lang w:eastAsia="zh-CN"/>
        </w:rPr>
        <w:t>）实验计算</w:t>
      </w:r>
      <w:r>
        <w:rPr>
          <w:rFonts w:ascii="宋体" w:hAnsi="宋体" w:eastAsia="宋体" w:cs="宋体"/>
          <w:color w:val="auto"/>
          <w:spacing w:val="8"/>
          <w:sz w:val="21"/>
          <w:szCs w:val="21"/>
          <w:lang w:eastAsia="zh-CN"/>
        </w:rPr>
        <w:t xml:space="preserve"> u_rel</w:t>
      </w:r>
      <w:r>
        <w:rPr>
          <w:rFonts w:hint="eastAsia" w:ascii="宋体" w:hAnsi="宋体" w:eastAsia="宋体" w:cs="宋体"/>
          <w:color w:val="auto"/>
          <w:spacing w:val="8"/>
          <w:sz w:val="21"/>
          <w:szCs w:val="21"/>
          <w:lang w:eastAsia="zh-CN"/>
        </w:rPr>
        <w:t>；报告结果时统一乘以覆盖因子</w:t>
      </w:r>
      <w:r>
        <w:rPr>
          <w:rFonts w:ascii="宋体" w:hAnsi="宋体" w:eastAsia="宋体" w:cs="宋体"/>
          <w:color w:val="auto"/>
          <w:spacing w:val="8"/>
          <w:sz w:val="21"/>
          <w:szCs w:val="21"/>
          <w:lang w:eastAsia="zh-CN"/>
        </w:rPr>
        <w:t xml:space="preserve"> k = 2</w:t>
      </w:r>
      <w:r>
        <w:rPr>
          <w:rFonts w:hint="eastAsia" w:ascii="宋体" w:hAnsi="宋体" w:eastAsia="宋体" w:cs="宋体"/>
          <w:color w:val="auto"/>
          <w:spacing w:val="8"/>
          <w:sz w:val="21"/>
          <w:szCs w:val="21"/>
          <w:lang w:eastAsia="zh-CN"/>
        </w:rPr>
        <w:t>。</w:t>
      </w:r>
    </w:p>
    <w:p w14:paraId="3C55C593">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结果报告格式：</w:t>
      </w: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测得值</w:t>
      </w:r>
      <w:r>
        <w:rPr>
          <w:rFonts w:ascii="宋体" w:hAnsi="宋体" w:eastAsia="宋体" w:cs="宋体"/>
          <w:color w:val="auto"/>
          <w:spacing w:val="8"/>
          <w:sz w:val="21"/>
          <w:szCs w:val="21"/>
          <w:lang w:eastAsia="zh-CN"/>
        </w:rPr>
        <w:t xml:space="preserve"> = X ± U (k=2)</w:t>
      </w:r>
      <w:r>
        <w:rPr>
          <w:rFonts w:hint="eastAsia" w:ascii="宋体" w:hAnsi="宋体" w:eastAsia="宋体" w:cs="宋体"/>
          <w:color w:val="auto"/>
          <w:spacing w:val="8"/>
          <w:sz w:val="21"/>
          <w:szCs w:val="21"/>
          <w:lang w:eastAsia="zh-CN"/>
        </w:rPr>
        <w:t>，单位</w:t>
      </w:r>
      <w:r>
        <w:rPr>
          <w:rFonts w:ascii="宋体" w:hAnsi="宋体" w:eastAsia="宋体" w:cs="宋体"/>
          <w:color w:val="auto"/>
          <w:spacing w:val="8"/>
          <w:sz w:val="21"/>
          <w:szCs w:val="21"/>
          <w:lang w:eastAsia="zh-CN"/>
        </w:rPr>
        <w:t xml:space="preserve"> µg/kg</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MRL = Y µg/kg</w:t>
      </w:r>
      <w:r>
        <w:rPr>
          <w:rFonts w:hint="eastAsia" w:ascii="宋体" w:hAnsi="宋体" w:eastAsia="宋体" w:cs="宋体"/>
          <w:color w:val="auto"/>
          <w:spacing w:val="8"/>
          <w:sz w:val="21"/>
          <w:szCs w:val="21"/>
          <w:lang w:eastAsia="zh-CN"/>
        </w:rPr>
        <w:t>；结论：符合</w:t>
      </w:r>
      <w:r>
        <w:rPr>
          <w:rFonts w:ascii="宋体" w:hAnsi="宋体" w:eastAsia="宋体" w:cs="宋体"/>
          <w:color w:val="auto"/>
          <w:spacing w:val="8"/>
          <w:sz w:val="21"/>
          <w:szCs w:val="21"/>
          <w:lang w:eastAsia="zh-CN"/>
        </w:rPr>
        <w:t>/</w:t>
      </w:r>
      <w:r>
        <w:rPr>
          <w:rFonts w:hint="eastAsia" w:ascii="宋体" w:hAnsi="宋体" w:eastAsia="宋体" w:cs="宋体"/>
          <w:color w:val="auto"/>
          <w:spacing w:val="8"/>
          <w:sz w:val="21"/>
          <w:szCs w:val="21"/>
          <w:lang w:eastAsia="zh-CN"/>
        </w:rPr>
        <w:t>不符合</w:t>
      </w:r>
      <w:r>
        <w:rPr>
          <w:rFonts w:ascii="宋体" w:hAnsi="宋体" w:eastAsia="宋体" w:cs="宋体"/>
          <w:color w:val="auto"/>
          <w:spacing w:val="8"/>
          <w:sz w:val="21"/>
          <w:szCs w:val="21"/>
          <w:lang w:eastAsia="zh-CN"/>
        </w:rPr>
        <w:t xml:space="preserve"> GB 2763</w:t>
      </w:r>
      <w:r>
        <w:rPr>
          <w:rFonts w:hint="eastAsia" w:ascii="宋体" w:hAnsi="宋体" w:eastAsia="宋体" w:cs="宋体"/>
          <w:color w:val="auto"/>
          <w:spacing w:val="8"/>
          <w:sz w:val="21"/>
          <w:szCs w:val="21"/>
          <w:lang w:eastAsia="zh-CN"/>
        </w:rPr>
        <w:t>。”</w:t>
      </w:r>
    </w:p>
    <w:p w14:paraId="4D930D79">
      <w:pPr>
        <w:pStyle w:val="6"/>
        <w:numPr>
          <w:ilvl w:val="0"/>
          <w:numId w:val="1"/>
        </w:numPr>
        <w:spacing w:before="265" w:line="360" w:lineRule="auto"/>
        <w:outlineLvl w:val="0"/>
        <w:rPr>
          <w:rFonts w:hint="eastAsia"/>
          <w:color w:val="auto"/>
          <w:spacing w:val="7"/>
          <w:sz w:val="20"/>
          <w:szCs w:val="20"/>
        </w:rPr>
      </w:pPr>
      <w:bookmarkStart w:id="29" w:name="_Toc208994371"/>
      <w:r>
        <w:rPr>
          <w:color w:val="auto"/>
          <w:spacing w:val="7"/>
          <w:sz w:val="20"/>
          <w:szCs w:val="20"/>
        </w:rPr>
        <w:t>实施流程</w:t>
      </w:r>
      <w:bookmarkEnd w:id="29"/>
    </w:p>
    <w:p w14:paraId="1D78A956">
      <w:pPr>
        <w:pStyle w:val="6"/>
        <w:numPr>
          <w:ilvl w:val="1"/>
          <w:numId w:val="1"/>
        </w:numPr>
        <w:spacing w:before="265" w:line="360" w:lineRule="auto"/>
        <w:outlineLvl w:val="0"/>
        <w:rPr>
          <w:rFonts w:hint="eastAsia"/>
          <w:color w:val="auto"/>
          <w:spacing w:val="7"/>
          <w:sz w:val="20"/>
          <w:szCs w:val="20"/>
        </w:rPr>
      </w:pPr>
      <w:bookmarkStart w:id="30" w:name="_Toc208994372"/>
      <w:r>
        <w:rPr>
          <w:rFonts w:hint="eastAsia"/>
          <w:color w:val="auto"/>
          <w:spacing w:val="7"/>
          <w:sz w:val="20"/>
          <w:szCs w:val="20"/>
        </w:rPr>
        <w:t>取样与运输</w:t>
      </w:r>
      <w:bookmarkEnd w:id="30"/>
    </w:p>
    <w:p w14:paraId="3904FB92">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按</w:t>
      </w:r>
      <w:r>
        <w:rPr>
          <w:rFonts w:ascii="宋体" w:hAnsi="宋体" w:eastAsia="宋体" w:cs="宋体"/>
          <w:color w:val="auto"/>
          <w:spacing w:val="8"/>
          <w:sz w:val="21"/>
          <w:szCs w:val="21"/>
          <w:lang w:eastAsia="zh-CN"/>
        </w:rPr>
        <w:t>NY/T 789</w:t>
      </w:r>
      <w:r>
        <w:rPr>
          <w:rFonts w:hint="eastAsia" w:ascii="宋体" w:hAnsi="宋体" w:eastAsia="宋体" w:cs="宋体"/>
          <w:color w:val="auto"/>
          <w:spacing w:val="8"/>
          <w:sz w:val="21"/>
          <w:szCs w:val="21"/>
          <w:lang w:eastAsia="zh-CN"/>
        </w:rPr>
        <w:t>执行；样品应分装为两份，一份用于检测，一份留存备查；若快检室非现场设置，样品应在</w:t>
      </w:r>
      <w:r>
        <w:rPr>
          <w:rFonts w:ascii="宋体" w:hAnsi="宋体" w:eastAsia="宋体" w:cs="宋体"/>
          <w:color w:val="auto"/>
          <w:spacing w:val="8"/>
          <w:sz w:val="21"/>
          <w:szCs w:val="21"/>
          <w:lang w:eastAsia="zh-CN"/>
        </w:rPr>
        <w:t>2 h</w:t>
      </w:r>
      <w:r>
        <w:rPr>
          <w:rFonts w:hint="eastAsia" w:ascii="宋体" w:hAnsi="宋体" w:eastAsia="宋体" w:cs="宋体"/>
          <w:color w:val="auto"/>
          <w:spacing w:val="8"/>
          <w:sz w:val="21"/>
          <w:szCs w:val="21"/>
          <w:lang w:eastAsia="zh-CN"/>
        </w:rPr>
        <w:t>内送达，冷链运输温度</w:t>
      </w:r>
      <w:r>
        <w:rPr>
          <w:rFonts w:ascii="宋体" w:hAnsi="宋体" w:eastAsia="宋体" w:cs="宋体"/>
          <w:color w:val="auto"/>
          <w:spacing w:val="8"/>
          <w:sz w:val="21"/>
          <w:szCs w:val="21"/>
          <w:lang w:eastAsia="zh-CN"/>
        </w:rPr>
        <w:t>0–4℃</w:t>
      </w:r>
      <w:r>
        <w:rPr>
          <w:rFonts w:hint="eastAsia" w:ascii="宋体" w:hAnsi="宋体" w:eastAsia="宋体" w:cs="宋体"/>
          <w:color w:val="auto"/>
          <w:spacing w:val="8"/>
          <w:sz w:val="21"/>
          <w:szCs w:val="21"/>
          <w:lang w:eastAsia="zh-CN"/>
        </w:rPr>
        <w:t>；若现场检测，取样后应立即开展前处理。</w:t>
      </w:r>
    </w:p>
    <w:p w14:paraId="0F33D3C7">
      <w:pPr>
        <w:pStyle w:val="6"/>
        <w:numPr>
          <w:ilvl w:val="1"/>
          <w:numId w:val="1"/>
        </w:numPr>
        <w:spacing w:before="265" w:line="360" w:lineRule="auto"/>
        <w:outlineLvl w:val="0"/>
        <w:rPr>
          <w:rFonts w:hint="eastAsia"/>
          <w:color w:val="auto"/>
          <w:spacing w:val="7"/>
          <w:sz w:val="20"/>
          <w:szCs w:val="20"/>
        </w:rPr>
      </w:pPr>
      <w:bookmarkStart w:id="31" w:name="_Toc208994373"/>
      <w:r>
        <w:rPr>
          <w:rFonts w:hint="eastAsia"/>
          <w:color w:val="auto"/>
          <w:spacing w:val="7"/>
          <w:sz w:val="20"/>
          <w:szCs w:val="20"/>
        </w:rPr>
        <w:t>前处理</w:t>
      </w:r>
      <w:bookmarkEnd w:id="31"/>
    </w:p>
    <w:p w14:paraId="4EE741A7">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不同厂家检测卡所用的样品前处理方法可能不同，应按照产品使用说明中规定方法进行操作。</w:t>
      </w:r>
    </w:p>
    <w:p w14:paraId="18CE878D">
      <w:pPr>
        <w:spacing w:before="27" w:line="360" w:lineRule="auto"/>
        <w:ind w:left="6" w:right="61" w:firstLine="420"/>
        <w:rPr>
          <w:rFonts w:hint="eastAsia" w:ascii="宋体" w:hAnsi="宋体" w:eastAsia="宋体" w:cs="宋体"/>
          <w:strike/>
          <w:color w:val="auto"/>
          <w:spacing w:val="8"/>
          <w:sz w:val="20"/>
          <w:szCs w:val="20"/>
          <w:lang w:eastAsia="zh-CN"/>
        </w:rPr>
      </w:pPr>
    </w:p>
    <w:p w14:paraId="4632E492">
      <w:pPr>
        <w:pStyle w:val="6"/>
        <w:numPr>
          <w:ilvl w:val="1"/>
          <w:numId w:val="1"/>
        </w:numPr>
        <w:spacing w:before="265" w:line="360" w:lineRule="auto"/>
        <w:outlineLvl w:val="0"/>
        <w:rPr>
          <w:rFonts w:hint="eastAsia"/>
          <w:color w:val="auto"/>
          <w:spacing w:val="7"/>
          <w:sz w:val="20"/>
          <w:szCs w:val="20"/>
        </w:rPr>
      </w:pPr>
      <w:bookmarkStart w:id="32" w:name="_Toc208994374"/>
      <w:r>
        <w:rPr>
          <w:rFonts w:hint="eastAsia"/>
          <w:color w:val="auto"/>
          <w:spacing w:val="7"/>
          <w:sz w:val="20"/>
          <w:szCs w:val="20"/>
        </w:rPr>
        <w:t>检测操作</w:t>
      </w:r>
      <w:bookmarkEnd w:id="32"/>
    </w:p>
    <w:p w14:paraId="29777F4B">
      <w:pPr>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现场检测应在</w:t>
      </w:r>
      <w:r>
        <w:rPr>
          <w:rFonts w:ascii="宋体" w:hAnsi="宋体" w:eastAsia="宋体" w:cs="宋体"/>
          <w:color w:val="auto"/>
          <w:spacing w:val="8"/>
          <w:sz w:val="21"/>
          <w:szCs w:val="21"/>
          <w:lang w:eastAsia="zh-CN"/>
        </w:rPr>
        <w:t>30 min</w:t>
      </w:r>
      <w:r>
        <w:rPr>
          <w:rFonts w:hint="eastAsia" w:ascii="宋体" w:hAnsi="宋体" w:eastAsia="宋体" w:cs="宋体"/>
          <w:color w:val="auto"/>
          <w:spacing w:val="8"/>
          <w:sz w:val="21"/>
          <w:szCs w:val="21"/>
          <w:lang w:eastAsia="zh-CN"/>
        </w:rPr>
        <w:t>内完</w:t>
      </w:r>
      <w:bookmarkStart w:id="38" w:name="_GoBack"/>
      <w:bookmarkEnd w:id="38"/>
      <w:r>
        <w:rPr>
          <w:rFonts w:hint="eastAsia" w:ascii="宋体" w:hAnsi="宋体" w:eastAsia="宋体" w:cs="宋体"/>
          <w:color w:val="auto"/>
          <w:spacing w:val="8"/>
          <w:sz w:val="21"/>
          <w:szCs w:val="21"/>
          <w:lang w:eastAsia="zh-CN"/>
        </w:rPr>
        <w:t>成；结果应可自动存储。</w:t>
      </w:r>
    </w:p>
    <w:p w14:paraId="685B3A4F">
      <w:pPr>
        <w:pStyle w:val="6"/>
        <w:numPr>
          <w:ilvl w:val="1"/>
          <w:numId w:val="1"/>
        </w:numPr>
        <w:spacing w:before="265" w:line="360" w:lineRule="auto"/>
        <w:outlineLvl w:val="0"/>
        <w:rPr>
          <w:rFonts w:hint="eastAsia"/>
          <w:color w:val="auto"/>
          <w:spacing w:val="7"/>
          <w:sz w:val="20"/>
          <w:szCs w:val="20"/>
        </w:rPr>
      </w:pPr>
      <w:bookmarkStart w:id="33" w:name="_Toc208994375"/>
      <w:r>
        <w:rPr>
          <w:rFonts w:hint="eastAsia"/>
          <w:color w:val="auto"/>
          <w:spacing w:val="7"/>
          <w:sz w:val="20"/>
          <w:szCs w:val="20"/>
        </w:rPr>
        <w:t>结果判定与处置</w:t>
      </w:r>
      <w:bookmarkEnd w:id="33"/>
    </w:p>
    <w:p w14:paraId="14A97BDF">
      <w:pPr>
        <w:spacing w:before="27" w:line="360" w:lineRule="auto"/>
        <w:ind w:left="6" w:right="61" w:firstLine="420"/>
        <w:rPr>
          <w:rFonts w:hint="eastAsia" w:ascii="宋体" w:hAnsi="宋体" w:eastAsia="宋体" w:cs="宋体"/>
          <w:color w:val="auto"/>
          <w:spacing w:val="8"/>
          <w:sz w:val="21"/>
          <w:szCs w:val="21"/>
          <w:lang w:eastAsia="zh-CN"/>
        </w:rPr>
      </w:pPr>
      <w:bookmarkStart w:id="34" w:name="bookmark50"/>
      <w:bookmarkEnd w:id="34"/>
      <w:bookmarkStart w:id="35" w:name="bookmark48"/>
      <w:bookmarkEnd w:id="35"/>
      <w:bookmarkStart w:id="36" w:name="bookmark49"/>
      <w:bookmarkEnd w:id="36"/>
      <w:bookmarkStart w:id="37" w:name="bookmark47"/>
      <w:bookmarkEnd w:id="37"/>
      <w:r>
        <w:rPr>
          <w:rFonts w:hint="eastAsia" w:ascii="宋体" w:hAnsi="宋体" w:eastAsia="宋体" w:cs="宋体"/>
          <w:color w:val="auto"/>
          <w:spacing w:val="8"/>
          <w:sz w:val="21"/>
          <w:szCs w:val="21"/>
          <w:lang w:eastAsia="zh-CN"/>
        </w:rPr>
        <w:t>以</w:t>
      </w:r>
      <w:r>
        <w:rPr>
          <w:rFonts w:ascii="宋体" w:hAnsi="宋体" w:eastAsia="宋体" w:cs="宋体"/>
          <w:color w:val="auto"/>
          <w:spacing w:val="8"/>
          <w:sz w:val="21"/>
          <w:szCs w:val="21"/>
          <w:lang w:eastAsia="zh-CN"/>
        </w:rPr>
        <w:t xml:space="preserve"> GB 2763 </w:t>
      </w:r>
      <w:r>
        <w:rPr>
          <w:rFonts w:hint="eastAsia" w:ascii="宋体" w:hAnsi="宋体" w:eastAsia="宋体" w:cs="宋体"/>
          <w:color w:val="auto"/>
          <w:spacing w:val="8"/>
          <w:sz w:val="21"/>
          <w:szCs w:val="21"/>
          <w:lang w:eastAsia="zh-CN"/>
        </w:rPr>
        <w:t>最大残留限量（</w:t>
      </w:r>
      <w:r>
        <w:rPr>
          <w:rFonts w:ascii="宋体" w:hAnsi="宋体" w:eastAsia="宋体" w:cs="宋体"/>
          <w:color w:val="auto"/>
          <w:spacing w:val="8"/>
          <w:sz w:val="21"/>
          <w:szCs w:val="21"/>
          <w:lang w:eastAsia="zh-CN"/>
        </w:rPr>
        <w:t>MRL</w:t>
      </w:r>
      <w:r>
        <w:rPr>
          <w:rFonts w:hint="eastAsia" w:ascii="宋体" w:hAnsi="宋体" w:eastAsia="宋体" w:cs="宋体"/>
          <w:color w:val="auto"/>
          <w:spacing w:val="8"/>
          <w:sz w:val="21"/>
          <w:szCs w:val="21"/>
          <w:lang w:eastAsia="zh-CN"/>
        </w:rPr>
        <w:t>）为判定基准，结合标准曲线、质控样结果及方法不确定度，按“风险分级、逐级响应”方式处置。</w:t>
      </w:r>
    </w:p>
    <w:p w14:paraId="4501DBE0">
      <w:pPr>
        <w:pStyle w:val="27"/>
        <w:numPr>
          <w:ilvl w:val="0"/>
          <w:numId w:val="2"/>
        </w:numPr>
        <w:spacing w:before="27" w:line="360" w:lineRule="auto"/>
        <w:ind w:right="61" w:firstLineChars="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结果＜</w:t>
      </w:r>
      <w:r>
        <w:rPr>
          <w:rFonts w:ascii="宋体" w:hAnsi="宋体" w:eastAsia="宋体" w:cs="宋体"/>
          <w:color w:val="auto"/>
          <w:spacing w:val="8"/>
          <w:sz w:val="21"/>
          <w:szCs w:val="21"/>
          <w:lang w:eastAsia="zh-CN"/>
        </w:rPr>
        <w:t>LOD</w:t>
      </w:r>
      <w:r>
        <w:rPr>
          <w:rFonts w:hint="eastAsia" w:ascii="宋体" w:hAnsi="宋体" w:eastAsia="宋体" w:cs="宋体"/>
          <w:color w:val="auto"/>
          <w:spacing w:val="8"/>
          <w:sz w:val="21"/>
          <w:szCs w:val="21"/>
          <w:lang w:eastAsia="zh-CN"/>
        </w:rPr>
        <w:t>：报“未检出”。</w:t>
      </w:r>
    </w:p>
    <w:p w14:paraId="735CED40">
      <w:pPr>
        <w:pStyle w:val="27"/>
        <w:numPr>
          <w:ilvl w:val="0"/>
          <w:numId w:val="2"/>
        </w:numPr>
        <w:spacing w:before="27" w:line="360" w:lineRule="auto"/>
        <w:ind w:right="61" w:firstLineChars="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 xml:space="preserve">LOD </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 </w:t>
      </w:r>
      <w:r>
        <w:rPr>
          <w:rFonts w:hint="eastAsia" w:ascii="宋体" w:hAnsi="宋体" w:eastAsia="宋体" w:cs="宋体"/>
          <w:color w:val="auto"/>
          <w:spacing w:val="8"/>
          <w:sz w:val="21"/>
          <w:szCs w:val="21"/>
          <w:lang w:eastAsia="zh-CN"/>
        </w:rPr>
        <w:t>结果＜</w:t>
      </w:r>
      <w:r>
        <w:rPr>
          <w:rFonts w:ascii="宋体" w:hAnsi="宋体" w:eastAsia="宋体" w:cs="宋体"/>
          <w:color w:val="auto"/>
          <w:spacing w:val="8"/>
          <w:sz w:val="21"/>
          <w:szCs w:val="21"/>
          <w:lang w:eastAsia="zh-CN"/>
        </w:rPr>
        <w:t>LOQ</w:t>
      </w:r>
      <w:r>
        <w:rPr>
          <w:rFonts w:hint="eastAsia" w:ascii="宋体" w:hAnsi="宋体" w:eastAsia="宋体" w:cs="宋体"/>
          <w:color w:val="auto"/>
          <w:spacing w:val="8"/>
          <w:sz w:val="21"/>
          <w:szCs w:val="21"/>
          <w:lang w:eastAsia="zh-CN"/>
        </w:rPr>
        <w:t>：报“＜</w:t>
      </w:r>
      <w:r>
        <w:rPr>
          <w:rFonts w:ascii="宋体" w:hAnsi="宋体" w:eastAsia="宋体" w:cs="宋体"/>
          <w:color w:val="auto"/>
          <w:spacing w:val="8"/>
          <w:sz w:val="21"/>
          <w:szCs w:val="21"/>
          <w:lang w:eastAsia="zh-CN"/>
        </w:rPr>
        <w:t>LOQ”</w:t>
      </w:r>
      <w:r>
        <w:rPr>
          <w:rFonts w:hint="eastAsia" w:ascii="宋体" w:hAnsi="宋体" w:eastAsia="宋体" w:cs="宋体"/>
          <w:color w:val="auto"/>
          <w:spacing w:val="8"/>
          <w:sz w:val="21"/>
          <w:szCs w:val="21"/>
          <w:lang w:eastAsia="zh-CN"/>
        </w:rPr>
        <w:t>，不启动复检。</w:t>
      </w:r>
    </w:p>
    <w:p w14:paraId="4B030E0C">
      <w:pPr>
        <w:pStyle w:val="27"/>
        <w:numPr>
          <w:ilvl w:val="0"/>
          <w:numId w:val="2"/>
        </w:numPr>
        <w:spacing w:before="27" w:line="360" w:lineRule="auto"/>
        <w:ind w:left="6" w:right="61" w:firstLine="420" w:firstLineChars="0"/>
        <w:rPr>
          <w:rFonts w:hint="eastAsia" w:ascii="宋体" w:hAnsi="宋体" w:eastAsia="宋体" w:cs="宋体"/>
          <w:color w:val="auto"/>
          <w:spacing w:val="8"/>
          <w:sz w:val="21"/>
          <w:szCs w:val="21"/>
          <w:lang w:eastAsia="zh-CN"/>
        </w:rPr>
      </w:pPr>
      <w:r>
        <w:rPr>
          <w:rFonts w:ascii="宋体" w:hAnsi="宋体" w:eastAsia="宋体" w:cs="宋体"/>
          <w:color w:val="auto"/>
          <w:spacing w:val="8"/>
          <w:sz w:val="21"/>
          <w:szCs w:val="21"/>
          <w:lang w:eastAsia="zh-CN"/>
        </w:rPr>
        <w:t xml:space="preserve">LOQ </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 </w:t>
      </w:r>
      <w:r>
        <w:rPr>
          <w:rFonts w:hint="eastAsia" w:ascii="宋体" w:hAnsi="宋体" w:eastAsia="宋体" w:cs="宋体"/>
          <w:color w:val="auto"/>
          <w:spacing w:val="8"/>
          <w:sz w:val="21"/>
          <w:szCs w:val="21"/>
          <w:lang w:eastAsia="zh-CN"/>
        </w:rPr>
        <w:t>结果＜</w:t>
      </w:r>
      <w:r>
        <w:rPr>
          <w:rFonts w:ascii="宋体" w:hAnsi="宋体" w:eastAsia="宋体" w:cs="宋体"/>
          <w:color w:val="auto"/>
          <w:spacing w:val="8"/>
          <w:sz w:val="21"/>
          <w:szCs w:val="21"/>
          <w:lang w:eastAsia="zh-CN"/>
        </w:rPr>
        <w:t>1.2 × MRL</w:t>
      </w:r>
      <w:r>
        <w:rPr>
          <w:rFonts w:hint="eastAsia" w:ascii="宋体" w:hAnsi="宋体" w:eastAsia="宋体" w:cs="宋体"/>
          <w:color w:val="auto"/>
          <w:spacing w:val="8"/>
          <w:sz w:val="21"/>
          <w:szCs w:val="21"/>
          <w:lang w:eastAsia="zh-CN"/>
        </w:rPr>
        <w:t>属“关注区间”，可当场复测</w:t>
      </w:r>
      <w:r>
        <w:rPr>
          <w:rFonts w:ascii="宋体" w:hAnsi="宋体" w:eastAsia="宋体" w:cs="宋体"/>
          <w:color w:val="auto"/>
          <w:spacing w:val="8"/>
          <w:sz w:val="21"/>
          <w:szCs w:val="21"/>
          <w:lang w:eastAsia="zh-CN"/>
        </w:rPr>
        <w:t xml:space="preserve"> 1 </w:t>
      </w:r>
      <w:r>
        <w:rPr>
          <w:rFonts w:hint="eastAsia" w:ascii="宋体" w:hAnsi="宋体" w:eastAsia="宋体" w:cs="宋体"/>
          <w:color w:val="auto"/>
          <w:spacing w:val="8"/>
          <w:sz w:val="21"/>
          <w:szCs w:val="21"/>
          <w:lang w:eastAsia="zh-CN"/>
        </w:rPr>
        <w:t>次；两次均值仍在此区间者，注明“建议跟踪监测”并放行。</w:t>
      </w:r>
    </w:p>
    <w:p w14:paraId="4F3EC377">
      <w:pPr>
        <w:pStyle w:val="27"/>
        <w:numPr>
          <w:ilvl w:val="0"/>
          <w:numId w:val="2"/>
        </w:numPr>
        <w:spacing w:before="27" w:line="360" w:lineRule="auto"/>
        <w:ind w:right="61" w:firstLineChars="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结果</w:t>
      </w:r>
      <w:r>
        <w:rPr>
          <w:rFonts w:ascii="宋体" w:hAnsi="宋体" w:eastAsia="宋体" w:cs="宋体"/>
          <w:color w:val="auto"/>
          <w:spacing w:val="8"/>
          <w:sz w:val="21"/>
          <w:szCs w:val="21"/>
          <w:lang w:eastAsia="zh-CN"/>
        </w:rPr>
        <w:t xml:space="preserve"> </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 1.2 × MRL</w:t>
      </w:r>
      <w:r>
        <w:rPr>
          <w:rFonts w:hint="eastAsia" w:ascii="宋体" w:hAnsi="宋体" w:eastAsia="宋体" w:cs="宋体"/>
          <w:color w:val="auto"/>
          <w:spacing w:val="8"/>
          <w:sz w:val="21"/>
          <w:szCs w:val="21"/>
          <w:lang w:eastAsia="zh-CN"/>
        </w:rPr>
        <w:t>：</w:t>
      </w:r>
    </w:p>
    <w:p w14:paraId="35DD95A8">
      <w:pPr>
        <w:spacing w:before="27" w:line="360" w:lineRule="auto"/>
        <w:ind w:left="6" w:right="61" w:firstLine="420"/>
        <w:rPr>
          <w:rFonts w:hint="eastAsia" w:ascii="宋体" w:hAnsi="宋体" w:eastAsia="宋体" w:cs="宋体"/>
          <w:color w:val="auto"/>
          <w:spacing w:val="8"/>
          <w:sz w:val="21"/>
          <w:szCs w:val="21"/>
          <w:lang w:eastAsia="zh-CN"/>
        </w:rPr>
      </w:pPr>
      <w:r>
        <w:rPr>
          <w:rFonts w:ascii="Cambria Math" w:hAnsi="Cambria Math" w:eastAsia="宋体" w:cs="Cambria Math"/>
          <w:color w:val="auto"/>
          <w:spacing w:val="8"/>
          <w:sz w:val="21"/>
          <w:szCs w:val="21"/>
          <w:lang w:eastAsia="zh-CN"/>
        </w:rPr>
        <w:t>‑</w:t>
      </w:r>
      <w:r>
        <w:rPr>
          <w:rFonts w:ascii="宋体" w:hAnsi="宋体" w:eastAsia="宋体" w:cs="宋体"/>
          <w:color w:val="auto"/>
          <w:spacing w:val="8"/>
          <w:sz w:val="21"/>
          <w:szCs w:val="21"/>
          <w:lang w:eastAsia="zh-CN"/>
        </w:rPr>
        <w:t xml:space="preserve"> </w:t>
      </w:r>
      <w:r>
        <w:rPr>
          <w:rFonts w:hint="eastAsia" w:ascii="宋体" w:hAnsi="宋体" w:eastAsia="宋体" w:cs="宋体"/>
          <w:color w:val="auto"/>
          <w:spacing w:val="8"/>
          <w:sz w:val="21"/>
          <w:szCs w:val="21"/>
          <w:lang w:eastAsia="zh-CN"/>
        </w:rPr>
        <w:t>立即留样、拍照并封样，按《食品安全抽样检验管理办法》启动实验室法复检；</w:t>
      </w:r>
    </w:p>
    <w:p w14:paraId="0E6796B4">
      <w:pPr>
        <w:spacing w:before="27" w:line="360" w:lineRule="auto"/>
        <w:ind w:left="6" w:right="61" w:firstLine="420"/>
        <w:rPr>
          <w:rFonts w:ascii="宋体" w:hAnsi="宋体" w:eastAsia="宋体" w:cs="宋体"/>
          <w:color w:val="auto"/>
          <w:spacing w:val="8"/>
          <w:sz w:val="21"/>
          <w:szCs w:val="21"/>
          <w:lang w:eastAsia="zh-CN"/>
        </w:rPr>
      </w:pPr>
      <w:r>
        <w:rPr>
          <w:rFonts w:ascii="Cambria Math" w:hAnsi="Cambria Math" w:eastAsia="宋体" w:cs="Cambria Math"/>
          <w:color w:val="auto"/>
          <w:spacing w:val="8"/>
          <w:sz w:val="21"/>
          <w:szCs w:val="21"/>
          <w:lang w:eastAsia="zh-CN"/>
        </w:rPr>
        <w:t>‑</w:t>
      </w:r>
      <w:r>
        <w:rPr>
          <w:rFonts w:ascii="宋体" w:hAnsi="宋体" w:eastAsia="宋体" w:cs="宋体"/>
          <w:color w:val="auto"/>
          <w:spacing w:val="8"/>
          <w:sz w:val="21"/>
          <w:szCs w:val="21"/>
          <w:lang w:eastAsia="zh-CN"/>
        </w:rPr>
        <w:t xml:space="preserve"> </w:t>
      </w:r>
      <w:r>
        <w:rPr>
          <w:rFonts w:hint="eastAsia" w:ascii="宋体" w:hAnsi="宋体" w:eastAsia="宋体" w:cs="宋体"/>
          <w:color w:val="auto"/>
          <w:spacing w:val="8"/>
          <w:sz w:val="21"/>
          <w:szCs w:val="21"/>
          <w:lang w:eastAsia="zh-CN"/>
        </w:rPr>
        <w:t>在等待复检结果期间，暂停同批次产品上市。</w:t>
      </w:r>
    </w:p>
    <w:p w14:paraId="42DEBEB5">
      <w:pPr>
        <w:pStyle w:val="6"/>
        <w:numPr>
          <w:ilvl w:val="1"/>
          <w:numId w:val="1"/>
        </w:numPr>
        <w:spacing w:before="265" w:line="360" w:lineRule="auto"/>
        <w:outlineLvl w:val="0"/>
        <w:rPr>
          <w:color w:val="auto"/>
          <w:spacing w:val="7"/>
          <w:sz w:val="20"/>
          <w:szCs w:val="20"/>
        </w:rPr>
      </w:pPr>
      <w:r>
        <w:rPr>
          <w:rFonts w:hint="eastAsia"/>
          <w:color w:val="auto"/>
          <w:spacing w:val="7"/>
          <w:sz w:val="20"/>
          <w:szCs w:val="20"/>
        </w:rPr>
        <w:t>现场环境约束（新增“</w:t>
      </w:r>
      <w:r>
        <w:rPr>
          <w:color w:val="auto"/>
          <w:spacing w:val="7"/>
          <w:sz w:val="20"/>
          <w:szCs w:val="20"/>
        </w:rPr>
        <w:t xml:space="preserve">7.5 </w:t>
      </w:r>
      <w:r>
        <w:rPr>
          <w:rFonts w:hint="eastAsia"/>
          <w:color w:val="auto"/>
          <w:spacing w:val="7"/>
          <w:sz w:val="20"/>
          <w:szCs w:val="20"/>
        </w:rPr>
        <w:t>现场环境要求”）</w:t>
      </w:r>
    </w:p>
    <w:p w14:paraId="7646EE35">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温度</w:t>
      </w:r>
      <w:r>
        <w:rPr>
          <w:rFonts w:ascii="宋体" w:hAnsi="宋体" w:eastAsia="宋体" w:cs="宋体"/>
          <w:color w:val="auto"/>
          <w:spacing w:val="8"/>
          <w:sz w:val="21"/>
          <w:szCs w:val="21"/>
          <w:lang w:eastAsia="zh-CN"/>
        </w:rPr>
        <w:t xml:space="preserve"> 10 – 30 </w:t>
      </w:r>
      <w:r>
        <w:rPr>
          <w:rFonts w:hint="eastAsia" w:ascii="宋体" w:hAnsi="宋体" w:eastAsia="宋体" w:cs="宋体"/>
          <w:color w:val="auto"/>
          <w:spacing w:val="8"/>
          <w:sz w:val="21"/>
          <w:szCs w:val="21"/>
          <w:lang w:eastAsia="zh-CN"/>
        </w:rPr>
        <w:t>℃，相对湿度≤</w:t>
      </w:r>
      <w:r>
        <w:rPr>
          <w:rFonts w:ascii="宋体" w:hAnsi="宋体" w:eastAsia="宋体" w:cs="宋体"/>
          <w:color w:val="auto"/>
          <w:spacing w:val="8"/>
          <w:sz w:val="21"/>
          <w:szCs w:val="21"/>
          <w:lang w:eastAsia="zh-CN"/>
        </w:rPr>
        <w:t xml:space="preserve"> 80 % RH</w:t>
      </w:r>
      <w:r>
        <w:rPr>
          <w:rFonts w:hint="eastAsia" w:ascii="宋体" w:hAnsi="宋体" w:eastAsia="宋体" w:cs="宋体"/>
          <w:color w:val="auto"/>
          <w:spacing w:val="8"/>
          <w:sz w:val="21"/>
          <w:szCs w:val="21"/>
          <w:lang w:eastAsia="zh-CN"/>
        </w:rPr>
        <w:t>；超出时须记录并对读数温度修正。</w:t>
      </w:r>
    </w:p>
    <w:p w14:paraId="1A2D59E6">
      <w:pPr>
        <w:spacing w:before="27" w:line="360" w:lineRule="auto"/>
        <w:ind w:left="6" w:right="61" w:firstLine="420"/>
        <w:rPr>
          <w:rFonts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避免阳光直射检测窗口，现场照度≤</w:t>
      </w:r>
      <w:r>
        <w:rPr>
          <w:rFonts w:ascii="宋体" w:hAnsi="宋体" w:eastAsia="宋体" w:cs="宋体"/>
          <w:color w:val="auto"/>
          <w:spacing w:val="8"/>
          <w:sz w:val="21"/>
          <w:szCs w:val="21"/>
          <w:lang w:eastAsia="zh-CN"/>
        </w:rPr>
        <w:t xml:space="preserve"> 1000 lx</w:t>
      </w:r>
      <w:r>
        <w:rPr>
          <w:rFonts w:hint="eastAsia" w:ascii="宋体" w:hAnsi="宋体" w:eastAsia="宋体" w:cs="宋体"/>
          <w:color w:val="auto"/>
          <w:spacing w:val="8"/>
          <w:sz w:val="21"/>
          <w:szCs w:val="21"/>
          <w:lang w:eastAsia="zh-CN"/>
        </w:rPr>
        <w:t>。</w:t>
      </w:r>
    </w:p>
    <w:p w14:paraId="55FDA72C">
      <w:pPr>
        <w:tabs>
          <w:tab w:val="left" w:pos="4410"/>
        </w:tabs>
        <w:spacing w:before="27" w:line="360" w:lineRule="auto"/>
        <w:ind w:left="6" w:right="61" w:firstLine="420"/>
        <w:rPr>
          <w:rFonts w:hint="eastAsia" w:ascii="宋体" w:hAnsi="宋体" w:eastAsia="宋体" w:cs="宋体"/>
          <w:color w:val="auto"/>
          <w:spacing w:val="8"/>
          <w:sz w:val="21"/>
          <w:szCs w:val="21"/>
          <w:lang w:eastAsia="zh-CN"/>
        </w:rPr>
      </w:pPr>
      <w:r>
        <w:rPr>
          <w:rFonts w:hint="eastAsia" w:ascii="宋体" w:hAnsi="宋体" w:eastAsia="宋体" w:cs="宋体"/>
          <w:color w:val="auto"/>
          <w:spacing w:val="8"/>
          <w:sz w:val="21"/>
          <w:szCs w:val="21"/>
          <w:lang w:eastAsia="zh-CN"/>
        </w:rPr>
        <w:t>荧光读数仪每年一次计量校准，出具“校准系数</w:t>
      </w:r>
      <w:r>
        <w:rPr>
          <w:rFonts w:ascii="宋体" w:hAnsi="宋体" w:eastAsia="宋体" w:cs="宋体"/>
          <w:color w:val="auto"/>
          <w:spacing w:val="8"/>
          <w:sz w:val="21"/>
          <w:szCs w:val="21"/>
          <w:lang w:eastAsia="zh-CN"/>
        </w:rPr>
        <w:t xml:space="preserve"> K”</w:t>
      </w:r>
      <w:r>
        <w:rPr>
          <w:rFonts w:hint="eastAsia" w:ascii="宋体" w:hAnsi="宋体" w:eastAsia="宋体" w:cs="宋体"/>
          <w:color w:val="auto"/>
          <w:spacing w:val="8"/>
          <w:sz w:val="21"/>
          <w:szCs w:val="21"/>
          <w:lang w:eastAsia="zh-CN"/>
        </w:rPr>
        <w:t>；</w:t>
      </w:r>
      <w:r>
        <w:rPr>
          <w:rFonts w:ascii="宋体" w:hAnsi="宋体" w:eastAsia="宋体" w:cs="宋体"/>
          <w:color w:val="auto"/>
          <w:spacing w:val="8"/>
          <w:sz w:val="21"/>
          <w:szCs w:val="21"/>
          <w:lang w:eastAsia="zh-CN"/>
        </w:rPr>
        <w:t xml:space="preserve">K </w:t>
      </w:r>
      <w:r>
        <w:rPr>
          <w:rFonts w:hint="eastAsia" w:ascii="宋体" w:hAnsi="宋体" w:eastAsia="宋体" w:cs="宋体"/>
          <w:color w:val="auto"/>
          <w:spacing w:val="8"/>
          <w:sz w:val="21"/>
          <w:szCs w:val="21"/>
          <w:lang w:eastAsia="zh-CN"/>
        </w:rPr>
        <w:t>偏离</w:t>
      </w:r>
      <w:r>
        <w:rPr>
          <w:rFonts w:ascii="宋体" w:hAnsi="宋体" w:eastAsia="宋体" w:cs="宋体"/>
          <w:color w:val="auto"/>
          <w:spacing w:val="8"/>
          <w:sz w:val="21"/>
          <w:szCs w:val="21"/>
          <w:lang w:eastAsia="zh-CN"/>
        </w:rPr>
        <w:t xml:space="preserve"> 1 ± 0.05 </w:t>
      </w:r>
      <w:r>
        <w:rPr>
          <w:rFonts w:hint="eastAsia" w:ascii="宋体" w:hAnsi="宋体" w:eastAsia="宋体" w:cs="宋体"/>
          <w:color w:val="auto"/>
          <w:spacing w:val="8"/>
          <w:sz w:val="21"/>
          <w:szCs w:val="21"/>
          <w:lang w:eastAsia="zh-CN"/>
        </w:rPr>
        <w:t>时禁用。</w:t>
      </w:r>
    </w:p>
    <w:sectPr>
      <w:headerReference r:id="rId10" w:type="first"/>
      <w:footerReference r:id="rId13" w:type="first"/>
      <w:footerReference r:id="rId11" w:type="default"/>
      <w:footerReference r:id="rId12" w:type="even"/>
      <w:pgSz w:w="11906" w:h="16839"/>
      <w:pgMar w:top="1431" w:right="1785" w:bottom="1418" w:left="1785" w:header="850" w:footer="992"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7B5C8">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B4609">
    <w:pPr>
      <w:spacing w:line="230" w:lineRule="auto"/>
      <w:ind w:left="9050"/>
      <w:rPr>
        <w:rFonts w:hint="eastAsia" w:ascii="宋体" w:hAnsi="宋体" w:eastAsia="宋体" w:cs="宋体"/>
        <w:sz w:val="18"/>
        <w:szCs w:val="18"/>
      </w:rPr>
    </w:pPr>
    <w:r>
      <w:rPr>
        <w:rFonts w:ascii="宋体" w:hAnsi="宋体" w:eastAsia="宋体" w:cs="宋体"/>
        <w:sz w:val="18"/>
        <w:szCs w:val="18"/>
      </w:rPr>
      <w:t>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52F69">
    <w:pPr>
      <w:pStyle w:val="7"/>
      <w:jc w:val="center"/>
    </w:pPr>
    <w:r>
      <w:rPr>
        <w:rFonts w:hint="eastAsia" w:ascii="宋体" w:hAnsi="宋体" w:eastAsia="宋体" w:cs="宋体"/>
        <w:lang w:eastAsia="zh-CN"/>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CA4D1">
    <w:pPr>
      <w:spacing w:line="14" w:lineRule="auto"/>
      <w:ind w:firstLine="20" w:firstLineChars="100"/>
      <w:rPr>
        <w:sz w:val="2"/>
      </w:rPr>
    </w:pPr>
    <w:r>
      <w:rPr>
        <w:rFonts w:hint="eastAsia" w:ascii="宋体" w:hAnsi="宋体" w:eastAsia="宋体" w:cs="宋体"/>
        <w:sz w:val="2"/>
        <w:lang w:eastAsia="zh-CN"/>
      </w:rPr>
      <w:t>ⅡⅡ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83524">
    <w:pPr>
      <w:spacing w:line="14" w:lineRule="auto"/>
      <w:ind w:firstLine="200" w:firstLineChars="100"/>
      <w:jc w:val="right"/>
      <w:rPr>
        <w:rFonts w:hint="eastAsia" w:ascii="宋体" w:hAnsi="宋体" w:eastAsia="宋体"/>
        <w:sz w:val="20"/>
        <w:szCs w:val="20"/>
      </w:rPr>
    </w:pPr>
    <w:r>
      <w:rPr>
        <w:rFonts w:hint="eastAsia" w:ascii="宋体" w:hAnsi="宋体" w:eastAsia="宋体" w:cs="宋体"/>
        <w:sz w:val="20"/>
        <w:szCs w:val="20"/>
        <w:lang w:eastAsia="zh-CN"/>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AC174">
    <w:pPr>
      <w:pStyle w:val="7"/>
      <w:jc w:val="right"/>
    </w:pPr>
    <w:r>
      <w:rPr>
        <w:rFonts w:hint="eastAsia" w:asciiTheme="minorEastAsia" w:hAnsiTheme="minorEastAsia" w:eastAsiaTheme="minorEastAsia"/>
        <w:lang w:eastAsia="zh-CN"/>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802195"/>
    </w:sdtPr>
    <w:sdtContent>
      <w:p w14:paraId="6C76778E">
        <w:pPr>
          <w:pStyle w:val="7"/>
          <w:jc w:val="right"/>
        </w:pPr>
        <w:r>
          <w:rPr>
            <w:rFonts w:hint="eastAsia" w:asciiTheme="minorEastAsia" w:hAnsiTheme="minorEastAsia" w:eastAsiaTheme="minorEastAsia"/>
            <w:lang w:eastAsia="zh-CN"/>
          </w:rPr>
          <w:t>1</w:t>
        </w:r>
      </w:p>
    </w:sdtContent>
  </w:sdt>
  <w:p w14:paraId="17D57DE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FF9FA">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681D81BA">
    <w:pPr>
      <w:spacing w:before="35" w:line="199" w:lineRule="auto"/>
      <w:ind w:right="824"/>
      <w:rPr>
        <w:rFonts w:ascii="Times New Roman" w:hAnsi="Times New Roman" w:cs="Times New Roman" w:eastAsiaTheme="minorEastAsia"/>
        <w:sz w:val="20"/>
        <w:szCs w:val="20"/>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A3ED9">
    <w:pPr>
      <w:spacing w:before="35" w:line="199" w:lineRule="auto"/>
      <w:ind w:right="824"/>
      <w:jc w:val="right"/>
      <w:rPr>
        <w:rFonts w:ascii="Times New Roman" w:hAnsi="Times New Roman" w:cs="Times New Roman" w:eastAsiaTheme="minorEastAsia"/>
        <w:sz w:val="20"/>
        <w:szCs w:val="20"/>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D9CB">
    <w:pPr>
      <w:jc w:val="right"/>
      <w:rPr>
        <w:rFonts w:hint="default" w:asciiTheme="minorAscii" w:hAnsiTheme="minorAscii"/>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7155E98B">
    <w:pPr>
      <w:jc w:val="right"/>
      <w:rPr>
        <w:rFonts w:hint="default" w:asciiTheme="minorAscii" w:hAnsiTheme="minorAscii"/>
        <w:lang w:val="en-US" w:eastAsia="zh-CN"/>
      </w:rPr>
    </w:pPr>
  </w:p>
  <w:p w14:paraId="0831A48A">
    <w:pPr>
      <w:pStyle w:val="8"/>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6FC48">
    <w:pPr>
      <w:pStyle w:val="8"/>
      <w:jc w:val="right"/>
      <w:rPr>
        <w:rFonts w:hint="default" w:asciiTheme="minorAscii" w:hAnsiTheme="minorAscii"/>
        <w:sz w:val="21"/>
        <w:szCs w:val="21"/>
      </w:rPr>
    </w:pPr>
    <w:r>
      <w:rPr>
        <w:rFonts w:hint="default" w:asciiTheme="minorAscii" w:hAnsiTheme="minorAscii"/>
        <w:sz w:val="21"/>
        <w:szCs w:val="21"/>
      </w:rPr>
      <w:t xml:space="preserve">T/ </w:t>
    </w:r>
    <w:r>
      <w:rPr>
        <w:rFonts w:hint="default" w:asciiTheme="minorAscii" w:hAnsiTheme="minorAscii"/>
        <w:sz w:val="21"/>
        <w:szCs w:val="21"/>
        <w:lang w:val="en-US" w:eastAsia="zh-CN"/>
      </w:rPr>
      <w:t xml:space="preserve">FDSA  </w:t>
    </w:r>
    <w:r>
      <w:rPr>
        <w:rFonts w:hint="default" w:asciiTheme="minorAscii" w:hAnsiTheme="minorAscii"/>
        <w:sz w:val="21"/>
        <w:szCs w:val="21"/>
      </w:rPr>
      <w:t>XXXX—</w:t>
    </w:r>
    <w:r>
      <w:rPr>
        <w:rFonts w:hint="default" w:asciiTheme="minorAscii" w:hAnsiTheme="minorAscii"/>
        <w:sz w:val="21"/>
        <w:szCs w:val="21"/>
        <w:lang w:val="en-US" w:eastAsia="zh-CN"/>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E29A3"/>
    <w:multiLevelType w:val="multilevel"/>
    <w:tmpl w:val="52EE29A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72E2177E"/>
    <w:multiLevelType w:val="multilevel"/>
    <w:tmpl w:val="72E2177E"/>
    <w:lvl w:ilvl="0" w:tentative="0">
      <w:start w:val="1"/>
      <w:numFmt w:val="lowerLetter"/>
      <w:lvlText w:val="%1)"/>
      <w:lvlJc w:val="left"/>
      <w:pPr>
        <w:ind w:left="866" w:hanging="440"/>
      </w:pPr>
    </w:lvl>
    <w:lvl w:ilvl="1" w:tentative="0">
      <w:start w:val="1"/>
      <w:numFmt w:val="lowerLetter"/>
      <w:lvlText w:val="%2)"/>
      <w:lvlJc w:val="left"/>
      <w:pPr>
        <w:ind w:left="1306" w:hanging="440"/>
      </w:p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mirrorMargins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8E9"/>
    <w:rsid w:val="00001A36"/>
    <w:rsid w:val="00001F7C"/>
    <w:rsid w:val="0000290D"/>
    <w:rsid w:val="000118F8"/>
    <w:rsid w:val="0006795B"/>
    <w:rsid w:val="00076082"/>
    <w:rsid w:val="000A2C9C"/>
    <w:rsid w:val="000B7265"/>
    <w:rsid w:val="000D61E3"/>
    <w:rsid w:val="000E137B"/>
    <w:rsid w:val="000E24E1"/>
    <w:rsid w:val="000E3AB6"/>
    <w:rsid w:val="000E6237"/>
    <w:rsid w:val="00105D70"/>
    <w:rsid w:val="001066BE"/>
    <w:rsid w:val="00114DDD"/>
    <w:rsid w:val="0014550D"/>
    <w:rsid w:val="00167814"/>
    <w:rsid w:val="0019104B"/>
    <w:rsid w:val="001B370B"/>
    <w:rsid w:val="001C25A3"/>
    <w:rsid w:val="001D2C9C"/>
    <w:rsid w:val="001E2B6A"/>
    <w:rsid w:val="001E5DE2"/>
    <w:rsid w:val="001F7BE0"/>
    <w:rsid w:val="00225533"/>
    <w:rsid w:val="00241F47"/>
    <w:rsid w:val="00242D54"/>
    <w:rsid w:val="00245BF6"/>
    <w:rsid w:val="00266A78"/>
    <w:rsid w:val="00277DD0"/>
    <w:rsid w:val="002B4767"/>
    <w:rsid w:val="002C51D3"/>
    <w:rsid w:val="002C763F"/>
    <w:rsid w:val="002E35A4"/>
    <w:rsid w:val="002E7992"/>
    <w:rsid w:val="00315384"/>
    <w:rsid w:val="00317957"/>
    <w:rsid w:val="00333E8A"/>
    <w:rsid w:val="00356128"/>
    <w:rsid w:val="00357A0F"/>
    <w:rsid w:val="0037535D"/>
    <w:rsid w:val="003814A0"/>
    <w:rsid w:val="003C0428"/>
    <w:rsid w:val="003D14BB"/>
    <w:rsid w:val="003E06A2"/>
    <w:rsid w:val="003F15EC"/>
    <w:rsid w:val="00456958"/>
    <w:rsid w:val="0046115E"/>
    <w:rsid w:val="00461977"/>
    <w:rsid w:val="004A3128"/>
    <w:rsid w:val="004D354E"/>
    <w:rsid w:val="004D3E2D"/>
    <w:rsid w:val="004F18C6"/>
    <w:rsid w:val="004F2E51"/>
    <w:rsid w:val="005125CC"/>
    <w:rsid w:val="00512CFD"/>
    <w:rsid w:val="00556F5E"/>
    <w:rsid w:val="00567C08"/>
    <w:rsid w:val="005A684B"/>
    <w:rsid w:val="005B310E"/>
    <w:rsid w:val="005B3D57"/>
    <w:rsid w:val="005C1917"/>
    <w:rsid w:val="00623F16"/>
    <w:rsid w:val="00633AB7"/>
    <w:rsid w:val="006344FC"/>
    <w:rsid w:val="006418EF"/>
    <w:rsid w:val="00643C53"/>
    <w:rsid w:val="00663808"/>
    <w:rsid w:val="006A0E81"/>
    <w:rsid w:val="006C6A79"/>
    <w:rsid w:val="006D60C0"/>
    <w:rsid w:val="006E6533"/>
    <w:rsid w:val="00704F61"/>
    <w:rsid w:val="00706658"/>
    <w:rsid w:val="0070670F"/>
    <w:rsid w:val="00712B67"/>
    <w:rsid w:val="00741F06"/>
    <w:rsid w:val="00743B5E"/>
    <w:rsid w:val="007513BC"/>
    <w:rsid w:val="00760EE8"/>
    <w:rsid w:val="0077498E"/>
    <w:rsid w:val="00783E6E"/>
    <w:rsid w:val="00786E2C"/>
    <w:rsid w:val="0079467F"/>
    <w:rsid w:val="007B0FE1"/>
    <w:rsid w:val="007C28E9"/>
    <w:rsid w:val="007C763D"/>
    <w:rsid w:val="007D22AF"/>
    <w:rsid w:val="007F49F6"/>
    <w:rsid w:val="00821FBF"/>
    <w:rsid w:val="0083279A"/>
    <w:rsid w:val="00872241"/>
    <w:rsid w:val="008739E4"/>
    <w:rsid w:val="008A2B12"/>
    <w:rsid w:val="008B5274"/>
    <w:rsid w:val="008C1825"/>
    <w:rsid w:val="008E0B35"/>
    <w:rsid w:val="008F74E5"/>
    <w:rsid w:val="00914150"/>
    <w:rsid w:val="009250B2"/>
    <w:rsid w:val="00927C26"/>
    <w:rsid w:val="009314A8"/>
    <w:rsid w:val="009369F8"/>
    <w:rsid w:val="009400E7"/>
    <w:rsid w:val="009453C2"/>
    <w:rsid w:val="009710CD"/>
    <w:rsid w:val="00972B1B"/>
    <w:rsid w:val="00980149"/>
    <w:rsid w:val="00981A2D"/>
    <w:rsid w:val="009A5A87"/>
    <w:rsid w:val="009B0CD6"/>
    <w:rsid w:val="009B40CD"/>
    <w:rsid w:val="009C162D"/>
    <w:rsid w:val="009C7AF5"/>
    <w:rsid w:val="009F3077"/>
    <w:rsid w:val="00A22E85"/>
    <w:rsid w:val="00A34CC7"/>
    <w:rsid w:val="00A34FAA"/>
    <w:rsid w:val="00A40F2A"/>
    <w:rsid w:val="00A45B0C"/>
    <w:rsid w:val="00A45D20"/>
    <w:rsid w:val="00A70AA4"/>
    <w:rsid w:val="00AA0FDE"/>
    <w:rsid w:val="00AD724F"/>
    <w:rsid w:val="00AF4073"/>
    <w:rsid w:val="00B14967"/>
    <w:rsid w:val="00B3539E"/>
    <w:rsid w:val="00B807D7"/>
    <w:rsid w:val="00BB0757"/>
    <w:rsid w:val="00BB1982"/>
    <w:rsid w:val="00BC54E3"/>
    <w:rsid w:val="00BC5B26"/>
    <w:rsid w:val="00C0395F"/>
    <w:rsid w:val="00C31BB3"/>
    <w:rsid w:val="00C42376"/>
    <w:rsid w:val="00C4244D"/>
    <w:rsid w:val="00C451B4"/>
    <w:rsid w:val="00C52C0D"/>
    <w:rsid w:val="00C82ED3"/>
    <w:rsid w:val="00C97080"/>
    <w:rsid w:val="00CA1E30"/>
    <w:rsid w:val="00CA3E14"/>
    <w:rsid w:val="00CA4E6F"/>
    <w:rsid w:val="00CB6811"/>
    <w:rsid w:val="00CC2F1A"/>
    <w:rsid w:val="00CD5100"/>
    <w:rsid w:val="00D30FE6"/>
    <w:rsid w:val="00D33952"/>
    <w:rsid w:val="00D3616E"/>
    <w:rsid w:val="00D504EB"/>
    <w:rsid w:val="00D63F14"/>
    <w:rsid w:val="00D6490C"/>
    <w:rsid w:val="00D70887"/>
    <w:rsid w:val="00D82F6D"/>
    <w:rsid w:val="00D870E0"/>
    <w:rsid w:val="00DA2830"/>
    <w:rsid w:val="00DB78AC"/>
    <w:rsid w:val="00DE2E40"/>
    <w:rsid w:val="00DE39F3"/>
    <w:rsid w:val="00DE6945"/>
    <w:rsid w:val="00DE757A"/>
    <w:rsid w:val="00E24D4C"/>
    <w:rsid w:val="00E3212B"/>
    <w:rsid w:val="00E33119"/>
    <w:rsid w:val="00E34769"/>
    <w:rsid w:val="00E415AE"/>
    <w:rsid w:val="00E425A2"/>
    <w:rsid w:val="00E45AD3"/>
    <w:rsid w:val="00E52623"/>
    <w:rsid w:val="00E6180E"/>
    <w:rsid w:val="00E80AC0"/>
    <w:rsid w:val="00E85466"/>
    <w:rsid w:val="00EA4975"/>
    <w:rsid w:val="00EC0766"/>
    <w:rsid w:val="00F249F1"/>
    <w:rsid w:val="00F27796"/>
    <w:rsid w:val="00F31A70"/>
    <w:rsid w:val="00F53116"/>
    <w:rsid w:val="00F63BED"/>
    <w:rsid w:val="00F86F16"/>
    <w:rsid w:val="00FB031B"/>
    <w:rsid w:val="00FC3429"/>
    <w:rsid w:val="00FF55E2"/>
    <w:rsid w:val="00FF7BEE"/>
    <w:rsid w:val="04011457"/>
    <w:rsid w:val="078B50F9"/>
    <w:rsid w:val="0DDA7292"/>
    <w:rsid w:val="0E664FCA"/>
    <w:rsid w:val="1622230E"/>
    <w:rsid w:val="21BD3321"/>
    <w:rsid w:val="22721D38"/>
    <w:rsid w:val="23C86E10"/>
    <w:rsid w:val="25C4531D"/>
    <w:rsid w:val="2C7077A1"/>
    <w:rsid w:val="336B7F5C"/>
    <w:rsid w:val="3AA54601"/>
    <w:rsid w:val="3B093521"/>
    <w:rsid w:val="3B284128"/>
    <w:rsid w:val="48AB4759"/>
    <w:rsid w:val="49D10533"/>
    <w:rsid w:val="4F362499"/>
    <w:rsid w:val="50DF6B9C"/>
    <w:rsid w:val="5101213F"/>
    <w:rsid w:val="578C1D85"/>
    <w:rsid w:val="5E8453B4"/>
    <w:rsid w:val="627F5DBB"/>
    <w:rsid w:val="65FD7D86"/>
    <w:rsid w:val="66D1297B"/>
    <w:rsid w:val="6DEF1F92"/>
    <w:rsid w:val="76525DAB"/>
    <w:rsid w:val="784F55D0"/>
    <w:rsid w:val="78A9607B"/>
    <w:rsid w:val="7C7E0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5"/>
    <w:qFormat/>
    <w:uiPriority w:val="0"/>
    <w:pPr>
      <w:keepNext/>
      <w:keepLines/>
      <w:widowControl w:val="0"/>
      <w:kinsoku/>
      <w:autoSpaceDE/>
      <w:autoSpaceDN/>
      <w:adjustRightInd/>
      <w:snapToGrid/>
      <w:spacing w:before="260" w:after="260" w:line="416" w:lineRule="auto"/>
      <w:jc w:val="both"/>
      <w:textAlignment w:val="auto"/>
      <w:outlineLvl w:val="1"/>
    </w:pPr>
    <w:rPr>
      <w:rFonts w:ascii="Cambria" w:hAnsi="Cambria" w:eastAsia="宋体" w:cs="Times New Roman"/>
      <w:b/>
      <w:bCs/>
      <w:snapToGrid/>
      <w:color w:val="auto"/>
      <w:kern w:val="2"/>
      <w:sz w:val="32"/>
      <w:szCs w:val="32"/>
      <w:lang w:eastAsia="zh-CN"/>
    </w:rPr>
  </w:style>
  <w:style w:type="paragraph" w:styleId="4">
    <w:name w:val="heading 3"/>
    <w:basedOn w:val="1"/>
    <w:next w:val="1"/>
    <w:link w:val="24"/>
    <w:semiHidden/>
    <w:unhideWhenUsed/>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0"/>
  </w:style>
  <w:style w:type="paragraph" w:styleId="6">
    <w:name w:val="Body Text"/>
    <w:basedOn w:val="1"/>
    <w:link w:val="30"/>
    <w:semiHidden/>
    <w:qFormat/>
    <w:uiPriority w:val="0"/>
    <w:rPr>
      <w:rFonts w:ascii="黑体" w:hAnsi="黑体" w:eastAsia="黑体" w:cs="黑体"/>
      <w:sz w:val="47"/>
      <w:szCs w:val="47"/>
    </w:rPr>
  </w:style>
  <w:style w:type="paragraph" w:styleId="7">
    <w:name w:val="footer"/>
    <w:basedOn w:val="1"/>
    <w:link w:val="23"/>
    <w:qFormat/>
    <w:uiPriority w:val="99"/>
    <w:pPr>
      <w:tabs>
        <w:tab w:val="center" w:pos="4153"/>
        <w:tab w:val="right" w:pos="8306"/>
      </w:tabs>
    </w:pPr>
    <w:rPr>
      <w:sz w:val="18"/>
      <w:szCs w:val="18"/>
    </w:rPr>
  </w:style>
  <w:style w:type="paragraph" w:styleId="8">
    <w:name w:val="header"/>
    <w:basedOn w:val="1"/>
    <w:link w:val="22"/>
    <w:qFormat/>
    <w:uiPriority w:val="0"/>
    <w:pPr>
      <w:tabs>
        <w:tab w:val="center" w:pos="4153"/>
        <w:tab w:val="right" w:pos="8306"/>
      </w:tabs>
      <w:jc w:val="center"/>
    </w:pPr>
    <w:rPr>
      <w:sz w:val="18"/>
      <w:szCs w:val="18"/>
    </w:rPr>
  </w:style>
  <w:style w:type="paragraph" w:styleId="9">
    <w:name w:val="toc 1"/>
    <w:basedOn w:val="1"/>
    <w:next w:val="1"/>
    <w:qFormat/>
    <w:uiPriority w:val="39"/>
    <w:rPr>
      <w:rFonts w:eastAsiaTheme="majorEastAsia"/>
      <w:sz w:val="20"/>
    </w:rPr>
  </w:style>
  <w:style w:type="paragraph" w:styleId="10">
    <w:name w:val="footnote text"/>
    <w:basedOn w:val="1"/>
    <w:link w:val="28"/>
    <w:qFormat/>
    <w:uiPriority w:val="0"/>
    <w:rPr>
      <w:sz w:val="18"/>
      <w:szCs w:val="18"/>
    </w:rPr>
  </w:style>
  <w:style w:type="paragraph" w:styleId="11">
    <w:name w:val="toc 2"/>
    <w:basedOn w:val="1"/>
    <w:next w:val="1"/>
    <w:autoRedefine/>
    <w:qFormat/>
    <w:uiPriority w:val="0"/>
    <w:pPr>
      <w:ind w:left="420" w:leftChars="200"/>
    </w:pPr>
    <w:rPr>
      <w:rFonts w:eastAsiaTheme="majorEastAsia"/>
      <w:sz w:val="20"/>
    </w:rPr>
  </w:style>
  <w:style w:type="paragraph" w:styleId="12">
    <w:name w:val="HTML Preformatted"/>
    <w:basedOn w:val="1"/>
    <w:link w:val="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autoSpaceDE/>
      <w:autoSpaceDN/>
      <w:adjustRightInd/>
      <w:snapToGrid/>
      <w:textAlignment w:val="auto"/>
    </w:pPr>
    <w:rPr>
      <w:rFonts w:ascii="宋体" w:hAnsi="宋体" w:eastAsia="宋体" w:cs="宋体"/>
      <w:snapToGrid/>
      <w:color w:val="auto"/>
      <w:sz w:val="24"/>
      <w:szCs w:val="24"/>
      <w:lang w:eastAsia="zh-CN"/>
    </w:rPr>
  </w:style>
  <w:style w:type="paragraph" w:styleId="13">
    <w:name w:val="Normal (Web)"/>
    <w:basedOn w:val="1"/>
    <w:qFormat/>
    <w:uiPriority w:val="99"/>
    <w:rPr>
      <w:rFonts w:ascii="Times New Roman" w:hAnsi="Times New Roman" w:cs="Times New Roman"/>
      <w:sz w:val="24"/>
      <w:szCs w:val="24"/>
    </w:rPr>
  </w:style>
  <w:style w:type="paragraph" w:styleId="14">
    <w:name w:val="annotation subject"/>
    <w:basedOn w:val="5"/>
    <w:next w:val="5"/>
    <w:link w:val="32"/>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TML Code"/>
    <w:basedOn w:val="17"/>
    <w:unhideWhenUsed/>
    <w:qFormat/>
    <w:uiPriority w:val="99"/>
    <w:rPr>
      <w:rFonts w:ascii="宋体" w:hAnsi="宋体" w:eastAsia="宋体" w:cs="宋体"/>
      <w:sz w:val="24"/>
      <w:szCs w:val="24"/>
    </w:rPr>
  </w:style>
  <w:style w:type="character" w:styleId="19">
    <w:name w:val="annotation reference"/>
    <w:basedOn w:val="17"/>
    <w:qFormat/>
    <w:uiPriority w:val="0"/>
    <w:rPr>
      <w:sz w:val="21"/>
      <w:szCs w:val="21"/>
    </w:rPr>
  </w:style>
  <w:style w:type="character" w:styleId="20">
    <w:name w:val="footnote reference"/>
    <w:basedOn w:val="17"/>
    <w:qFormat/>
    <w:uiPriority w:val="0"/>
    <w:rPr>
      <w:vertAlign w:val="superscript"/>
    </w:rPr>
  </w:style>
  <w:style w:type="table" w:customStyle="1" w:styleId="21">
    <w:name w:val="Table Normal"/>
    <w:semiHidden/>
    <w:unhideWhenUsed/>
    <w:qFormat/>
    <w:uiPriority w:val="0"/>
    <w:tblPr>
      <w:tblCellMar>
        <w:top w:w="0" w:type="dxa"/>
        <w:left w:w="0" w:type="dxa"/>
        <w:bottom w:w="0" w:type="dxa"/>
        <w:right w:w="0" w:type="dxa"/>
      </w:tblCellMar>
    </w:tblPr>
  </w:style>
  <w:style w:type="character" w:customStyle="1" w:styleId="22">
    <w:name w:val="页眉 字符"/>
    <w:basedOn w:val="17"/>
    <w:link w:val="8"/>
    <w:qFormat/>
    <w:uiPriority w:val="0"/>
    <w:rPr>
      <w:rFonts w:eastAsia="Arial"/>
      <w:snapToGrid w:val="0"/>
      <w:color w:val="000000"/>
      <w:sz w:val="18"/>
      <w:szCs w:val="18"/>
      <w:lang w:eastAsia="en-US"/>
    </w:rPr>
  </w:style>
  <w:style w:type="character" w:customStyle="1" w:styleId="23">
    <w:name w:val="页脚 字符"/>
    <w:basedOn w:val="17"/>
    <w:link w:val="7"/>
    <w:qFormat/>
    <w:uiPriority w:val="99"/>
    <w:rPr>
      <w:rFonts w:eastAsia="Arial"/>
      <w:snapToGrid w:val="0"/>
      <w:color w:val="000000"/>
      <w:sz w:val="18"/>
      <w:szCs w:val="18"/>
      <w:lang w:eastAsia="en-US"/>
    </w:rPr>
  </w:style>
  <w:style w:type="character" w:customStyle="1" w:styleId="24">
    <w:name w:val="标题 3 字符"/>
    <w:basedOn w:val="17"/>
    <w:link w:val="4"/>
    <w:semiHidden/>
    <w:qFormat/>
    <w:uiPriority w:val="0"/>
    <w:rPr>
      <w:rFonts w:eastAsia="Arial"/>
      <w:b/>
      <w:bCs/>
      <w:snapToGrid w:val="0"/>
      <w:color w:val="000000"/>
      <w:sz w:val="32"/>
      <w:szCs w:val="32"/>
      <w:lang w:eastAsia="en-US"/>
    </w:rPr>
  </w:style>
  <w:style w:type="character" w:customStyle="1" w:styleId="25">
    <w:name w:val="标题 2 字符"/>
    <w:basedOn w:val="17"/>
    <w:link w:val="3"/>
    <w:qFormat/>
    <w:uiPriority w:val="0"/>
    <w:rPr>
      <w:rFonts w:ascii="Cambria" w:hAnsi="Cambria" w:eastAsia="宋体" w:cs="Times New Roman"/>
      <w:b/>
      <w:bCs/>
      <w:kern w:val="2"/>
      <w:sz w:val="32"/>
      <w:szCs w:val="32"/>
    </w:rPr>
  </w:style>
  <w:style w:type="paragraph" w:customStyle="1" w:styleId="26">
    <w:name w:val="修订1"/>
    <w:hidden/>
    <w:unhideWhenUsed/>
    <w:qFormat/>
    <w:uiPriority w:val="99"/>
    <w:rPr>
      <w:rFonts w:ascii="Arial" w:hAnsi="Arial" w:eastAsia="Arial" w:cs="Arial"/>
      <w:snapToGrid w:val="0"/>
      <w:color w:val="000000"/>
      <w:sz w:val="21"/>
      <w:szCs w:val="21"/>
      <w:lang w:val="en-US" w:eastAsia="en-US" w:bidi="ar-SA"/>
    </w:rPr>
  </w:style>
  <w:style w:type="paragraph" w:styleId="27">
    <w:name w:val="List Paragraph"/>
    <w:basedOn w:val="1"/>
    <w:unhideWhenUsed/>
    <w:qFormat/>
    <w:uiPriority w:val="99"/>
    <w:pPr>
      <w:ind w:firstLine="420" w:firstLineChars="200"/>
    </w:pPr>
  </w:style>
  <w:style w:type="character" w:customStyle="1" w:styleId="28">
    <w:name w:val="脚注文本 字符"/>
    <w:basedOn w:val="17"/>
    <w:link w:val="10"/>
    <w:qFormat/>
    <w:uiPriority w:val="0"/>
    <w:rPr>
      <w:rFonts w:eastAsia="Arial"/>
      <w:snapToGrid w:val="0"/>
      <w:color w:val="000000"/>
      <w:sz w:val="18"/>
      <w:szCs w:val="18"/>
      <w:lang w:eastAsia="en-US"/>
    </w:rPr>
  </w:style>
  <w:style w:type="paragraph" w:customStyle="1" w:styleId="29">
    <w:name w:val="修订2"/>
    <w:hidden/>
    <w:unhideWhenUsed/>
    <w:qFormat/>
    <w:uiPriority w:val="99"/>
    <w:rPr>
      <w:rFonts w:ascii="Arial" w:hAnsi="Arial" w:eastAsia="Arial" w:cs="Arial"/>
      <w:snapToGrid w:val="0"/>
      <w:color w:val="000000"/>
      <w:sz w:val="21"/>
      <w:szCs w:val="21"/>
      <w:lang w:val="en-US" w:eastAsia="en-US" w:bidi="ar-SA"/>
    </w:rPr>
  </w:style>
  <w:style w:type="character" w:customStyle="1" w:styleId="30">
    <w:name w:val="正文文本 字符"/>
    <w:basedOn w:val="17"/>
    <w:link w:val="6"/>
    <w:semiHidden/>
    <w:qFormat/>
    <w:uiPriority w:val="0"/>
    <w:rPr>
      <w:rFonts w:ascii="黑体" w:hAnsi="黑体" w:eastAsia="黑体" w:cs="黑体"/>
      <w:snapToGrid w:val="0"/>
      <w:color w:val="000000"/>
      <w:sz w:val="47"/>
      <w:szCs w:val="47"/>
      <w:lang w:eastAsia="en-US"/>
    </w:rPr>
  </w:style>
  <w:style w:type="character" w:customStyle="1" w:styleId="31">
    <w:name w:val="批注文字 字符"/>
    <w:basedOn w:val="17"/>
    <w:link w:val="5"/>
    <w:qFormat/>
    <w:uiPriority w:val="0"/>
    <w:rPr>
      <w:rFonts w:eastAsia="Arial"/>
      <w:snapToGrid w:val="0"/>
      <w:color w:val="000000"/>
      <w:sz w:val="21"/>
      <w:szCs w:val="21"/>
      <w:lang w:eastAsia="en-US"/>
    </w:rPr>
  </w:style>
  <w:style w:type="character" w:customStyle="1" w:styleId="32">
    <w:name w:val="批注主题 字符"/>
    <w:basedOn w:val="31"/>
    <w:link w:val="14"/>
    <w:qFormat/>
    <w:uiPriority w:val="0"/>
    <w:rPr>
      <w:rFonts w:eastAsia="Arial"/>
      <w:b/>
      <w:bCs/>
      <w:snapToGrid w:val="0"/>
      <w:color w:val="000000"/>
      <w:sz w:val="21"/>
      <w:szCs w:val="21"/>
      <w:lang w:eastAsia="en-US"/>
    </w:rPr>
  </w:style>
  <w:style w:type="character" w:customStyle="1" w:styleId="33">
    <w:name w:val="HTML 预设格式 字符"/>
    <w:basedOn w:val="17"/>
    <w:link w:val="12"/>
    <w:qFormat/>
    <w:uiPriority w:val="99"/>
    <w:rPr>
      <w:rFonts w:ascii="宋体" w:hAnsi="宋体" w:eastAsia="宋体" w:cs="宋体"/>
      <w:sz w:val="24"/>
      <w:szCs w:val="24"/>
    </w:rPr>
  </w:style>
  <w:style w:type="paragraph" w:customStyle="1" w:styleId="3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character" w:customStyle="1" w:styleId="36">
    <w:name w:val="发布"/>
    <w:qFormat/>
    <w:uiPriority w:val="0"/>
    <w:rPr>
      <w:rFonts w:ascii="黑体" w:eastAsia="黑体"/>
      <w:spacing w:val="22"/>
      <w:w w:val="100"/>
      <w:position w:val="3"/>
      <w:sz w:val="28"/>
    </w:rPr>
  </w:style>
  <w:style w:type="paragraph" w:customStyle="1" w:styleId="37">
    <w:name w:val="封面日期"/>
    <w:qFormat/>
    <w:uiPriority w:val="0"/>
    <w:pPr>
      <w:jc w:val="center"/>
    </w:pPr>
    <w:rPr>
      <w:rFonts w:ascii="黑体" w:hAnsi="Times New Roman" w:eastAsia="黑体" w:cs="Times New Roman"/>
      <w:spacing w:val="4"/>
      <w:sz w:val="28"/>
      <w:lang w:val="en-US" w:eastAsia="zh-CN" w:bidi="ar-SA"/>
    </w:rPr>
  </w:style>
  <w:style w:type="character" w:customStyle="1" w:styleId="38">
    <w:name w:val="标题 1 字符"/>
    <w:basedOn w:val="17"/>
    <w:link w:val="2"/>
    <w:qFormat/>
    <w:uiPriority w:val="0"/>
    <w:rPr>
      <w:rFonts w:eastAsia="Arial"/>
      <w:b/>
      <w:bCs/>
      <w:snapToGrid w:val="0"/>
      <w:color w:val="000000"/>
      <w:kern w:val="44"/>
      <w:sz w:val="44"/>
      <w:szCs w:val="44"/>
      <w:lang w:eastAsia="en-US"/>
    </w:rPr>
  </w:style>
  <w:style w:type="paragraph" w:customStyle="1" w:styleId="39">
    <w:name w:val="acbfdd8b-e11b-4d36-88ff-6049b138f862"/>
    <w:basedOn w:val="1"/>
    <w:link w:val="40"/>
    <w:qFormat/>
    <w:uiPriority w:val="0"/>
    <w:pPr>
      <w:spacing w:line="288" w:lineRule="auto"/>
      <w:ind w:firstLine="200" w:firstLineChars="200"/>
      <w:outlineLvl w:val="0"/>
    </w:pPr>
    <w:rPr>
      <w:rFonts w:ascii="微软雅黑" w:hAnsi="微软雅黑" w:eastAsia="微软雅黑" w:cs="宋体"/>
      <w:spacing w:val="8"/>
      <w:sz w:val="22"/>
    </w:rPr>
  </w:style>
  <w:style w:type="character" w:customStyle="1" w:styleId="40">
    <w:name w:val="acbfdd8b-e11b-4d36-88ff-6049b138f862 字符"/>
    <w:basedOn w:val="30"/>
    <w:link w:val="39"/>
    <w:qFormat/>
    <w:uiPriority w:val="0"/>
    <w:rPr>
      <w:rFonts w:ascii="微软雅黑" w:hAnsi="微软雅黑" w:eastAsia="微软雅黑" w:cs="宋体"/>
      <w:snapToGrid w:val="0"/>
      <w:color w:val="000000"/>
      <w:spacing w:val="8"/>
      <w:sz w:val="22"/>
      <w:szCs w:val="21"/>
      <w:lang w:eastAsia="en-US"/>
    </w:rPr>
  </w:style>
  <w:style w:type="paragraph" w:customStyle="1" w:styleId="41">
    <w:name w:val="Revision"/>
    <w:hidden/>
    <w:unhideWhenUsed/>
    <w:qFormat/>
    <w:uiPriority w:val="99"/>
    <w:rPr>
      <w:rFonts w:ascii="Arial" w:hAnsi="Arial" w:eastAsia="Arial" w:cs="Arial"/>
      <w:snapToGrid w:val="0"/>
      <w:color w:val="000000"/>
      <w:sz w:val="21"/>
      <w:szCs w:val="21"/>
      <w:lang w:val="en-US" w:eastAsia="en-US" w:bidi="ar-SA"/>
    </w:rPr>
  </w:style>
  <w:style w:type="paragraph" w:customStyle="1" w:styleId="42">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paragraph" w:customStyle="1" w:styleId="43">
    <w:name w:val="标准书眉_偶数页"/>
    <w:basedOn w:val="1"/>
    <w:next w:val="1"/>
    <w:qFormat/>
    <w:uiPriority w:val="0"/>
    <w:pPr>
      <w:widowControl/>
      <w:tabs>
        <w:tab w:val="center" w:pos="4154"/>
        <w:tab w:val="right" w:pos="8306"/>
      </w:tabs>
      <w:spacing w:after="220"/>
      <w:jc w:val="left"/>
    </w:pPr>
    <w:rPr>
      <w:rFonts w:ascii="黑体" w:hAnsi="Times New Roman" w:eastAsia="黑体"/>
      <w:kern w:val="0"/>
      <w:sz w:val="21"/>
      <w:szCs w:val="21"/>
    </w:rPr>
  </w:style>
  <w:style w:type="paragraph" w:customStyle="1" w:styleId="44">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45">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1DBDE-338E-479A-AFA0-B61CBD6AF073}">
  <ds:schemaRefs/>
</ds:datastoreItem>
</file>

<file path=docProps/app.xml><?xml version="1.0" encoding="utf-8"?>
<Properties xmlns="http://schemas.openxmlformats.org/officeDocument/2006/extended-properties" xmlns:vt="http://schemas.openxmlformats.org/officeDocument/2006/docPropsVTypes">
  <Template>Normal</Template>
  <Pages>7</Pages>
  <Words>2172</Words>
  <Characters>2657</Characters>
  <Lines>153</Lines>
  <Paragraphs>142</Paragraphs>
  <TotalTime>1</TotalTime>
  <ScaleCrop>false</ScaleCrop>
  <LinksUpToDate>false</LinksUpToDate>
  <CharactersWithSpaces>2975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2025-09-26T08:36:00Z</dcterms:created>
  <dc:creator>chen</dc:creator>
  <cp:lastModifiedBy>Amy</cp:lastModifiedBy>
  <dcterms:modified xsi:type="dcterms:W3CDTF">2025-12-02T07:02:04Z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2024-12-30T11:29:24Z</vt:filetime>
  </property>
  <property fmtid="{D5CDD505-2E9C-101B-9397-08002B2CF9AE}" pid="4" name="KSOTemplateDocerSaveRecord">
    <vt:lpwstr>eyJoZGlkIjoiMTUzNGMyMWMzMDdiODE1OGUzZGY4Y2FmOTI4YTAyY2EiLCJ1c2VySWQiOiI1Mzg4NzMyMzEifQ==</vt:lpwstr>
  </property>
  <property fmtid="{D5CDD505-2E9C-101B-9397-08002B2CF9AE}" pid="5" name="KSOProductBuildVer">
    <vt:lpwstr>2052-12.1.0.23125</vt:lpwstr>
  </property>
  <property fmtid="{D5CDD505-2E9C-101B-9397-08002B2CF9AE}" pid="6" name="ICV">
    <vt:lpwstr>62C5F06AFF4E440FB368FAD55E3D8A9D_13</vt:lpwstr>
  </property>
</Properties>
</file>